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ΕΞ. ΕΠΕΙΓΟΝ ΑΝΑΡΤΗΤΕΑ ΣΤΟ ΔΙ ΦΕΚ:Β’ 5520/17.12.20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 6ΙΓΕ46ΜΠ3Ζ-ΙΓ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Την υπό στοιχεία Υ2/2019 απόφαση του Πρωθυπουργού και του Υπουργού Οικονομικών «Σύσταση θέσεων Αναπληρωτή Υπουργού και Υφυπουργού» (Β΄ 2901).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Την υπ’ αρ. 339/2019 κοινή απόφαση του Πρωθυπουργού και του Υπουργού Οικονομικών «Ανάθεση αρμοδιοτήτων στον Υφυπουργό Οικονομικών, Απόστολο Βεσυρόπουλο» (Β’ 3051).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Τις διατάξεις του π.δ. 142/2017 «Οργανισμός Υπουργείου Οικονομικών» (Α’ 181),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ζ)Τις διατάξεις του κεφαλαίου Α΄ «Σύσταση Ανεξάρτητης Αρχής Δημοσίων Εσόδων» του ν.4389/2016 (Α΄ 94) και ειδικότερα της παρ. 1 του άρθρου 7, του άρθρου 14 και του άρθρου 41 αυτού, όπως ισχύουν.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Την υπό στοιχεία Δ.ΟΡΓ. Α 1125859 ΕΞ 2020/23.10.2020 απόφαση του Διοικητή της Ανεξάρτητης Αρχής Δημοσίων Εσόδων «Οργανισμός της Ανεξάρτητης Αρχής Δημοσίων Εσόδων (Α.Α.Δ.Ε.)» (Β’ 4738), όπως συμπληρώθηκε, τροποποιήθηκε και ισχύει.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lang w:val="el" w:eastAsia="el"/>
        </w:rPr>
        <w:t>Το υπ. αρ. 46676/18.09.2017 εμπιστευτικό έγγραφο του Υπουργείου Εξωτερικών κατά το οποίο η συμπερίληψη γίνεται αποκλειστικά για σκοπούς εφαρμογής του ν.4172/2013 και δεν θίγει την επίσημη θέση της Ελληνικής Δημοκρατίας για το νομικό καθεστώς του Κοσσόβου.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ι)</w:t>
      </w:r>
      <w:r>
        <w:rPr>
          <w:lang w:val="en" w:eastAsia="en"/>
        </w:rPr>
        <w:tab/>
      </w:r>
      <w:r>
        <w:rPr>
          <w:lang w:val="el" w:eastAsia="el"/>
        </w:rPr>
        <w:t>Το γεγονός ότι από τις διατάξεις της παρούσας απόφασης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Καθορίζουμε ως κράτη που έχουν προνομιακό φορολογικό καθεστώς, σύμφωνα με τις διατάξεις της περ. β’ της παρ. 6 του άρθρου 65 του ν.4172/2013, τα κράτη εκείνα στα οποία το νομικό πρόσωπο ή νομική οντότητα υπόκειται σε φόρο επί των κερδών ή των εισοδημάτων ή του κεφαλαίου του οποίου ο συντελεστής είναι ίσος ή κατώτερος από το εξήντα τοις εκατό (60%) του συντελεστή φορολογίας νομικών προσώπων και νομικών οντοτήτων που θα οφειλόταν σύμφωνα με τις διατάξεις της ελληνικής φορολογικής νομοθεσίας, εάν ήταν φορολογικός κάτοικος ή διατηρούσε μόνιμη εγκατάσταση κατά την έννοια του άρθρου 6 του Κώδικα Φορολογίας Εισοδήματος στην Ελλάδα.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βάση το πιο πάνω κριτήριο τα κράτη αυτά, για το φορολογικό έτος 2019, είναι τα ακόλουθα: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2354"/>
        <w:gridCol w:w="177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Άγιος Ευστάθιος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St Eustatius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3750"/>
        <w:gridCol w:w="396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Αλβανία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Albania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Ανγκουίλα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Anguilla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Ανδόρα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Andorra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Βανουάτου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Vanuatu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Βερμούδες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Bermuda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Βόρεια Μακεδονία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North Macedonia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Βοσνία -Ερζεγοβίνη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Bosnia-Herzegovina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Βουλγαρία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Bulgaria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Βρετανικές Παρθένοι Νήσοι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British Virgin Islands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Γιβραλτάρ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Gibraltar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Γκέρνσεϋ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Guernsey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Ηνωμένα Αραβικά Εμιράτα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United Arab Emirates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Ιορδανία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Hashemite Kingdom of Jordan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Ιρλανδία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Ireland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Qatar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Κόσσοβο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Kosovo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Κύπρος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Cyprus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Λίχτενσταϊν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Liechtenstein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Μακάο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Macau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Μαλδίβες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Republic of Maldives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Μαυροβούνιο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Montenegro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Μολδαβία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Republic of Moldova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Μονακό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Monaco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Μονσεράτ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Montserrat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Μπαχάμες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The Bahamas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Μπαχρέϊν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Bahrain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Μπελίζ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Belize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Μποναίρ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Bonaire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Ναουρού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Nauru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Νήσοι Κέϋμαν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Cayman Islands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Νήσοι Μάρσαλ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Marshall Islands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3257"/>
        <w:gridCol w:w="239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Νήσοι Τέρκς και Κάϊκος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Turks and Caicos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Νήσος του 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Isle of Man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Ουγγαρία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Hungary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Ουζμπεκιστάν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Uzbekistan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Παραγουάη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Paraguay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Σαουδική Αραβία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Saudi Arabia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Σρι- Λάνκα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Sri Lanka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Τζέρσεϋ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Jersey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ΑΠΟΣΤΟΛΟΣ ΒΕΣΥΡΟΠΟΥΛΟΣ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Γ’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Επιχειρησιακή Δ/νση ΣΔΟΕ Αττικής &amp; Επιχειρησιακή Δ/νση ΣΔΟΕ Μακεδονίας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Γενική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Στρατηγικής Τεχνολογιών Πληροφορικής (με την παράκληση να αναρτηθεί στην ιστοσελίδα της ΑΑΔΕ και στην Ηλεκτρονική Βιβλιοθήκη της ΑΑΔΕ)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(με συνημμένα πέντε (5) φύλλα 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. Αποδέκτες πινάκων Α’, Β’ (εκτός των αριθ.1 και 2 αυτού), Ζ’, Η’, Θ’, Ι’, ΙΒ’, ΙΓ’, ΙΔ’, ΙΕ’, ΙΣΤ’, ΙΖ’, ΙΗ’, ΙΘ’, Κ’, ΚΑ’, ΚΒ’ και ΚΓ’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.Υπουργείο Ανάπτυξης &amp; Επενδύσεων, Γενική Γραμματεία Εμπορίου &amp; Προστασίας Καταναλωτή, Γενική Δ/νση Αγοράς, Δ/νση Εταιρειών, Πλ. Κάνιγγος, Τ.Κ. 101 81,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3.Υπουργείο Οικονομικών, Επιτροπή Λογιστικής Τυποποίησης και Ελέγχων (ΕΛΤΕ), Βουλής 7 - 105 62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 .ΠΕΡΙΟΔΙΚΟ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 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 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 .Γραφείο κας Γενικής Γραμματέως Φορολογικής Πολιτικής και Δημόσιας Περιουσίας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Αυτοτελές Τμήμα Συντονισμού,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Δ/νσεις, Αυτοτελή Τμήματα και Αυτοτελή Γραφεία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Εφαρμογής Άμεσης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Διεύθυνση Διεθνών Οικονομικών Σχέσεων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