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968Ι46ΜΠ3Ζ-862</w:t>
      </w:r>
    </w:p>
    <w:p>
      <w:pPr>
        <w:spacing w:before="240" w:after="240"/>
        <w:rPr>
          <w:lang w:val="el" w:eastAsia="el"/>
        </w:rPr>
      </w:pPr>
      <w:r>
        <w:rPr>
          <w:b/>
          <w:bCs/>
          <w:lang w:val="el" w:eastAsia="el"/>
        </w:rPr>
        <w:t>Αριθ. ΦΕΚ 5503 B’ / 14.12.2020</w:t>
      </w:r>
    </w:p>
    <w:p>
      <w:pPr>
        <w:spacing w:before="240" w:after="240"/>
        <w:rPr>
          <w:lang w:val="el" w:eastAsia="el"/>
        </w:rPr>
      </w:pPr>
      <w:r>
        <w:rPr>
          <w:b/>
          <w:bCs/>
          <w:lang w:val="el" w:eastAsia="el"/>
        </w:rPr>
        <w:t>Αθήνα 10 Δεκεμβρίου 2020</w:t>
      </w:r>
    </w:p>
    <w:p>
      <w:pPr>
        <w:spacing w:before="240" w:after="240"/>
        <w:rPr>
          <w:lang w:val="el" w:eastAsia="el"/>
        </w:rPr>
      </w:pPr>
      <w:r>
        <w:rPr>
          <w:b/>
          <w:bCs/>
          <w:lang w:val="el" w:eastAsia="el"/>
        </w:rPr>
        <w:t>Α.1268</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Fax 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Μεταβολή του χρονικού διαστήματος που λαμβάνεται υπόψη για τη μείωση του κύκλου εργασιών για την εφαρμογή της περίπτωσης α’ της παρ. 1 του άρθρου 35 του ν. 4753/2020 (ΦΕΚ Α' 227)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35 και ιδίως την περίπτωση α΄ της παραγράφου 1 του ν. 4753/2020 (Α΄ 227).</w:t>
      </w:r>
    </w:p>
    <w:p>
      <w:pPr>
        <w:spacing w:before="240" w:after="240"/>
        <w:rPr>
          <w:lang w:val="el" w:eastAsia="el"/>
        </w:rPr>
      </w:pPr>
      <w:r>
        <w:rPr>
          <w:lang w:val="el" w:eastAsia="el"/>
        </w:rPr>
        <w:t>2. Τις διατάξεις του ν. 4174/2013 (Α΄ 170 -Κ.Φ.Δ.), όπως ισχύουν.</w:t>
      </w:r>
    </w:p>
    <w:p>
      <w:pPr>
        <w:spacing w:before="240" w:after="240"/>
        <w:rPr>
          <w:lang w:val="el" w:eastAsia="el"/>
        </w:rPr>
      </w:pPr>
      <w:r>
        <w:rPr>
          <w:lang w:val="el" w:eastAsia="el"/>
        </w:rPr>
        <w:t>3. Τις διατάξεις του άρθρου 40 του ν. 3259/2004 (Α’ 149), όπως ισχύουν.</w:t>
      </w:r>
    </w:p>
    <w:p>
      <w:pPr>
        <w:spacing w:before="240" w:after="240"/>
        <w:rPr>
          <w:lang w:val="el" w:eastAsia="el"/>
        </w:rPr>
      </w:pPr>
      <w:r>
        <w:rPr>
          <w:lang w:val="el" w:eastAsia="el"/>
        </w:rPr>
        <w:t>4. Το π.δ. 142/2017 «Οργανισμός Υπουργείου Οικονομικών» (Α΄ 181), όπως ισχύει.</w:t>
      </w:r>
    </w:p>
    <w:p>
      <w:pPr>
        <w:spacing w:before="240" w:after="240"/>
        <w:rPr>
          <w:lang w:val="el" w:eastAsia="el"/>
        </w:rPr>
      </w:pPr>
      <w:r>
        <w:rPr>
          <w:lang w:val="el" w:eastAsia="el"/>
        </w:rPr>
        <w:t>5.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 π.δ. 62/2020 «Διορισμός Αναπληρωτών Υπουργών και Υφυπουργών» (Α΄155).</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Την υπό στοιχεία Υ70/2020 απόφαση του Πρωθυπουργού «Απόφαση του Πρωθυπουργού «Ανάθεση αρμοδιοτήτων στον Αναπληρωτή Υπουργό Οικονομικών Θεόδωρο Σκυλακάκη».</w:t>
      </w:r>
    </w:p>
    <w:p>
      <w:pPr>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Την υπ’ αρ.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υπ’ αρ. 39/3/30.11.2017 (Υ.Ο.Δ.Δ. 689) απόφαση του Συμβουλίου Διοίκησης της Α.Α.Δ.Ε. «Ανανέωσης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13. Την υπ΄ αριθμ. Α.1259/2020 (ΦΕΚ Β' 5250) Απόφαση του Αναπληρωτή Υπουργού και του Υφυπουργού Οικονομικών «Καθορισμός των Κωδικών Αριθμών Δραστηριοτήτων (ΚΑΔ) των επιχειρήσεων για την εφαρμογή της περίπτωσης α΄ της παρ. 1 του άρθρου 35 του ν. 4753/2020 με τίτλο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 ( Α΄ 227)</w:t>
      </w:r>
    </w:p>
    <w:p>
      <w:pPr>
        <w:spacing w:before="240" w:after="240"/>
        <w:rPr>
          <w:lang w:val="el" w:eastAsia="el"/>
        </w:rPr>
      </w:pPr>
      <w:r>
        <w:rPr>
          <w:lang w:val="el" w:eastAsia="el"/>
        </w:rPr>
        <w:t>14. Την ανάγκη τροποποίησης του χρονικού διαστήματος που λαμβάνεται υπόψη για την μείωση του κύκλου εργασιών έτσι ώστε ως πληγείσες επιχειρήσεις προκειμένου για την εφαρμογή των οριζομένων στην περ. α΄ της παρ. 1 του άρθρου 35 του ν.4753/2020 να θεωρούνται και οι επιχειρήσεις οι οποίες εμφανίζουν μειωμένο κύκλο εργασιών κατά το διάστημα Οκτωβρίου – Νοεμβρίου του έτους 2020 κατά ποσοστό μεγαλύτερο του 50% σε σχέση με τον κύκλο εργασιών του αντίστοιχου διαστήματος του έτους 2019.</w:t>
      </w:r>
    </w:p>
    <w:p>
      <w:pPr>
        <w:spacing w:before="240" w:after="240"/>
        <w:rPr>
          <w:lang w:val="el" w:eastAsia="el"/>
        </w:rPr>
      </w:pPr>
      <w:r>
        <w:rPr>
          <w:lang w:val="el" w:eastAsia="el"/>
        </w:rPr>
        <w:t>15. Την εισήγηση του Διοικητή της ΑΑΔΕ.</w:t>
      </w:r>
    </w:p>
    <w:p>
      <w:pPr>
        <w:spacing w:before="240" w:after="240"/>
        <w:rPr>
          <w:lang w:val="el" w:eastAsia="el"/>
        </w:rPr>
      </w:pPr>
      <w:r>
        <w:rPr>
          <w:lang w:val="el" w:eastAsia="el"/>
        </w:rPr>
        <w:t>16.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Μεταβάλουμε το χρονικό διάστημα που λαμβάνεται υπόψη για την μείωση του κύκλου εργασιώνέτσι ώστε, ως πληγείσες επιχειρήσεις για την εφαρμογή των οριζομένων στην περ. α΄ της παρ. 1 </w:t>
      </w:r>
    </w:p>
    <w:p>
      <w:pPr>
        <w:spacing w:before="240" w:after="240"/>
        <w:rPr>
          <w:lang w:val="el" w:eastAsia="el"/>
        </w:rPr>
      </w:pPr>
      <w:r>
        <w:rPr>
          <w:lang w:val="el" w:eastAsia="el"/>
        </w:rPr>
        <w:t>του2</w:t>
      </w:r>
    </w:p>
    <w:p>
      <w:pPr>
        <w:spacing w:before="240" w:after="240"/>
        <w:rPr>
          <w:lang w:val="el" w:eastAsia="el"/>
        </w:rPr>
      </w:pPr>
      <w:r>
        <w:rPr>
          <w:lang w:val="el" w:eastAsia="el"/>
        </w:rPr>
        <w:t>άρθρου 35 του ν.4753/2020 να θεωρούνται, πέραν των επιχειρήσεων που εμφανίζουν μειωμένο κύκλο εργασιών κατά το διάστημα Απριλίου – Σεπτεμβρίου 2020, όπως αυτό ορίζεται στην Α.1259/25.11.2020, και οι επιχειρήσεις οι οποίες εμφανίζουν μειωμένο κύκλο εργασιών κατά το διάστημα Οκτωβρίου – Νοεμβρίου του έτους 2020 κατά ποσοστό μεγαλύτερο του 50% σε σχέση με τον κύκλο εργασιών του αντίστοιχου διαστήματος του έτους 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lang w:val="el" w:eastAsia="el"/>
        </w:rPr>
        <w:t>Από τη δημοσίευση του ν. 4753/2020 (Α΄ 227) και μέχρι την 31η.12.2020, αναστέλλονται οι προθεσμίες λήξης, εμφάνισης και πληρωμής αξιογράφων, κατά εβδομήντα πέντε (75) ημέρες από την αναγραφόμενη επί εκάστου αξιογράφου ημερομηνία, οφειλόμενων από επιχειρήσεις του άρθρου 1 της παρούσας, οι οποίες κατά την 5η Νοεμβρίου 2020 έχουν ενεργό, κύριο κωδικό δραστηριότητας από τους αναφερόμενους στον πίνακα του Παραρτήματος 2 της υπ΄ αριθμ. Α.1259/2020 Απόφασης του Αναπληρωτή Υπουργού και του Υφυπουργού Οικονομικών ή των οποίων τα ακαθάριστα έσοδα ενεργού κατά την 5η Νοεμβρίου 2020 ΚΑΔ δευτερεύουσας δραστηριότητας (από τους αναφερόμενους στον πίνακα του Παραρτήματος 2 της υπ΄ αριθμ. Α.1259/2020 Απόφασης του Αναπληρωτή Υπουργού και του Υφυπουργού Οικονομικών), της αρχικής δήλωσης φόρου εισοδήματος φορολογικού έτους 2018, είναι μεγαλύτερα από τα ακαθάριστα έσοδα που αντιστοιχούν στον κύριο ΚΑΔ στις 5 Νοεμβρίου 2020.</w:t>
      </w:r>
    </w:p>
    <w:p>
      <w:pPr>
        <w:spacing w:before="240" w:after="240"/>
        <w:rPr>
          <w:lang w:val="el" w:eastAsia="el"/>
        </w:rPr>
      </w:pPr>
      <w:r>
        <w:rPr>
          <w:lang w:val="el" w:eastAsia="el"/>
        </w:rPr>
        <w:t>Η προϋπόθεση του μειωμένου κύκλου εργασιών για το διάστημα Οκτωβρίου – Νοεμβρίου 2020 κατά ποσοστό μεγαλύτερο από 50% σε σχέση με το αντίστοιχο διάστημα του 2019, για τις πληγείσες επιχειρήσεις υπολογίζεται ως ακολούθως:</w:t>
      </w:r>
    </w:p>
    <w:p>
      <w:pPr>
        <w:spacing w:before="240" w:after="240"/>
        <w:rPr>
          <w:lang w:val="el" w:eastAsia="el"/>
        </w:rPr>
      </w:pPr>
      <w:r>
        <w:rPr>
          <w:lang w:val="el" w:eastAsia="el"/>
        </w:rPr>
        <w:t>Α) για τις επιχειρήσεις που είναι υποκείμενες σε ΦΠΑ και τηρούν διπλογραφικά βιβλία, λαμβάνεται υπόψη το άθροισμα του κύκλου εργασιών μηνών Οκτωβρίου και Νοεμβρίου 2019 και συγκρίνεται με το αντίστοιχο του 2020, όπως προκύπτει από την περιοδική δήλωση Φ.Π.Α. μηνός Οκτωβρίου και από το ποσό που έχει δηλωθεί ή θα δηλωθεί ως ακαθάριστα έσοδα του μηνός Νοεμβρίου στην ηλεκτρονική πλατφόρμα «myBusinessSupport» της ΑΑΔΕ». Η δήλωση των ακαθαρίστων εσόδων στην πλατφόρμα, δύναται να πραγματοποιηθεί μέχρι την 15η Δεκεμβρίου 2020.</w:t>
      </w:r>
    </w:p>
    <w:p>
      <w:pPr>
        <w:spacing w:before="240" w:after="240"/>
        <w:rPr>
          <w:lang w:val="el" w:eastAsia="el"/>
        </w:rPr>
      </w:pPr>
      <w:r>
        <w:rPr>
          <w:lang w:val="el" w:eastAsia="el"/>
        </w:rPr>
        <w:t>Β) για τις επιχειρήσεις που είναι υποκείμενες σε ΦΠΑ και τηρούν απλογραφικά βιβλία, λαμβάνεται υπόψη το άθροισμα των ακαθαρίστων εσόδων μηνών Οκτωβρίου και Νοεμβρίου 2020 όπως αυτά έχουν διακριτά δηλωθεί ή θα δηλωθούν στην ηλεκτρονική πλατφόρμα «myBusinessSupport» της ΑΑΔΕ, το οποίο συγκρίνεται με τα 2/3 του κύκλου εργασιών της περιοδικής δήλωσης ΦΠΑ δ΄ τρίμηνου έτους 2019.</w:t>
      </w:r>
    </w:p>
    <w:p>
      <w:pPr>
        <w:spacing w:before="240" w:after="240"/>
        <w:rPr>
          <w:lang w:val="el" w:eastAsia="el"/>
        </w:rPr>
      </w:pPr>
      <w:r>
        <w:rPr>
          <w:lang w:val="el" w:eastAsia="el"/>
        </w:rPr>
        <w:t>Γ) για τις επιχειρήσεις που δεν είναι υποκείμενες σε ΦΠΑ ή είναι υποκείμενες και απαλλασσόμενες, λαμβάνεται υπόψη, το άθροισμα των ακαθαρίστων εσόδων μηνών Οκτωβρίου και Νοεμβρίου 2020 όπως αυτά έχουν διακριτά δηλωθεί ή θα δηλωθούν στην ηλεκτρονική πλατφόρμα «myBusinessSupport» της ΑΑΔΕ. Για τη σύγκριση με το έτος 2019, λαμβάνεται υπόψη το 1/6 των ακαθαρίστων εσόδων της δήλωσης ΦΕ φορολογικού έτους 2019. Σε περίπτωση μη υποβολής δήλωσης ΦΕ λόγω μη παρέλευσης της προθεσμίας υποβολής της, η πληροφορία των ακαθαρίστων εσόδων αντλείται από το 1/6 του δηλούμενου ποσού εσόδων στην πλατφόρμα «myBusinessSupport» για το 2019. Η δήλωση των ακαθαρίστων εσόδων στην πλατφόρμα, δύναται να πραγματοποιηθεί μέχρι την 15η Δεκεμβρίου 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αποστολής ή διαβίβασης πληροφοριών από την ΑΑΔΕ προς τα</w:t>
      </w:r>
    </w:p>
    <w:p>
      <w:pPr>
        <w:spacing w:before="240" w:after="240"/>
        <w:rPr>
          <w:lang w:val="el" w:eastAsia="el"/>
        </w:rPr>
      </w:pPr>
      <w:r>
        <w:rPr>
          <w:b/>
          <w:bCs/>
          <w:lang w:val="el" w:eastAsia="el"/>
        </w:rPr>
        <w:t>Πιστωτικά Ιδρύματα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Η διασταύρωση των φορολογικών στοιχείων και ο έλεγχος για την πλήρωση των προϋποθέσεων του άρθρου 2 της παρούσας πραγματοποιείται με μηχανογραφικό τρόπο από την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τα στοιχεία και πληροφορίες των δικαιούχων.</w:t>
      </w:r>
    </w:p>
    <w:p>
      <w:pPr>
        <w:pStyle w:val="MainText"/>
        <w:spacing w:before="120" w:after="0"/>
        <w:rPr>
          <w:lang w:val="el" w:eastAsia="el"/>
        </w:rPr>
      </w:pPr>
      <w:r>
        <w:rPr>
          <w:b/>
          <w:bCs/>
          <w:lang w:val="el" w:eastAsia="el"/>
        </w:rPr>
        <w:t>2.</w:t>
      </w:r>
      <w:r>
        <w:rPr>
          <w:lang w:val="el" w:eastAsia="el"/>
        </w:rPr>
        <w:t xml:space="preserve"> Η διαβίβαση των στοιχείων της παραγράφου 1 γίνεται απευθείας από την ΑΑΔΕ μέσω ασφαλούς συστήματος μεταφοράς αρχείου. Ειδικά για πιστωτικά και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 δημοσίευσή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O ΑΝΑΠΛΗΡΩΤΗΣ ΥΠΟΥΡΓΟΣ ΟΙΚΟΝΟΜΙΚΩΝ Ο ΥΦΥΠΟΥΡΓΟΣ ΟΙΚΟΝΟΜΙΚΩΝ</w:t>
      </w:r>
    </w:p>
    <w:p>
      <w:pPr>
        <w:spacing w:before="240" w:after="240"/>
        <w:rPr>
          <w:lang w:val="el" w:eastAsia="el"/>
        </w:rPr>
      </w:pPr>
      <w:r>
        <w:rPr>
          <w:b/>
          <w:bCs/>
          <w:lang w:val="el" w:eastAsia="el"/>
        </w:rPr>
        <w:t>ΘΕΟΔΩΡΟΣ ΣΚΥΛΑΚΑΚΗΣ 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3. Διεύθυνση Ανάπτυξης Φορολογικών Εφαρμογών (ΔΑΦΕ)</w:t>
      </w:r>
    </w:p>
    <w:p>
      <w:pPr>
        <w:spacing w:before="240" w:after="240"/>
        <w:rPr>
          <w:lang w:val="el" w:eastAsia="el"/>
        </w:rPr>
      </w:pPr>
      <w:r>
        <w:rPr>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