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Δ"μ22ί“*Εσόδων ΗΛΕΚΤΡΟΝΙΚΗΣ</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ΨΡ4146ΜΠ3Ζ-99Δ</w:t>
      </w:r>
    </w:p>
    <w:p>
      <w:pPr>
        <w:pStyle w:val="Title"/>
        <w:spacing w:before="120" w:after="360"/>
        <w:rPr>
          <w:lang w:val="el" w:eastAsia="el"/>
        </w:rPr>
      </w:pPr>
      <w:r>
        <w:rPr>
          <w:b/>
          <w:bCs/>
          <w:lang w:val="el" w:eastAsia="el"/>
        </w:rPr>
        <w:t>ΑΡΙΘ. ΦΕΚ: 5831Β/30.12.2020</w:t>
      </w:r>
    </w:p>
    <w:p>
      <w:pPr>
        <w:pStyle w:val="Title"/>
        <w:spacing w:before="120" w:after="360"/>
        <w:rPr>
          <w:lang w:val="el" w:eastAsia="el"/>
        </w:rPr>
      </w:pPr>
      <w:r>
        <w:rPr>
          <w:b/>
          <w:bCs/>
          <w:lang w:val="el" w:eastAsia="el"/>
        </w:rPr>
        <w:t>Μοσχάτο, 23-12-2020</w:t>
      </w:r>
    </w:p>
    <w:p>
      <w:pPr>
        <w:pStyle w:val="Title"/>
        <w:spacing w:before="120" w:after="360"/>
        <w:rPr>
          <w:lang w:val="el" w:eastAsia="el"/>
        </w:rPr>
      </w:pPr>
      <w:r>
        <w:rPr>
          <w:b/>
          <w:bCs/>
          <w:lang w:val="el" w:eastAsia="el"/>
        </w:rPr>
        <w:t>Α. 1287</w:t>
      </w:r>
    </w:p>
    <w:p>
      <w:pPr>
        <w:pStyle w:val="Title"/>
        <w:spacing w:before="120" w:after="36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Απόφασης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τροποποιήθηκε με τις Αποφάσεις του Διοικητή της ΑΑΔΕ Α.1100/2020 (Β΄1751), Α.1176/2020(Β΄ 3293) και Α.1238/2020(Β’4755).</w:t>
      </w:r>
    </w:p>
    <w:p>
      <w:pPr>
        <w:pStyle w:val="StructureList1"/>
        <w:spacing w:before="120" w:after="0"/>
        <w:rPr>
          <w:lang w:val="el" w:eastAsia="el"/>
        </w:rPr>
      </w:pPr>
      <w:r>
        <w:rPr>
          <w:lang w:val="el" w:eastAsia="el"/>
        </w:rPr>
        <w:t>γ)</w:t>
      </w:r>
      <w:r>
        <w:rPr>
          <w:lang w:val="en" w:eastAsia="en"/>
        </w:rPr>
        <w:tab/>
      </w:r>
      <w:r>
        <w:rPr>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δ)</w:t>
      </w:r>
      <w:r>
        <w:rPr>
          <w:lang w:val="en" w:eastAsia="en"/>
        </w:rPr>
        <w:tab/>
      </w:r>
      <w:r>
        <w:rPr>
          <w:lang w:val="el" w:eastAsia="el"/>
        </w:rPr>
        <w:t>Της Α.Υ.Ο.Ο. ΠΟΛ 1234/9.10.2002 (ΦΕΚ 136Β΄/23-10-2002)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Της Α.Υ.Ο.Ο. ΠΟΛ 1135/26.10.2005 (ΦΕΚ 1592Β΄/17-11-2005)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στ)</w:t>
      </w:r>
      <w:r>
        <w:rPr>
          <w:lang w:val="en" w:eastAsia="en"/>
        </w:rPr>
        <w:tab/>
      </w:r>
      <w:r>
        <w:rPr>
          <w:lang w:val="el" w:eastAsia="el"/>
        </w:rPr>
        <w:t>Της Α.Υ.Ο.Ο. ΠΟΛ 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ζ)</w:t>
      </w:r>
      <w:r>
        <w:rPr>
          <w:lang w:val="en" w:eastAsia="en"/>
        </w:rPr>
        <w:tab/>
      </w:r>
      <w:r>
        <w:rPr>
          <w:lang w:val="el" w:eastAsia="el"/>
        </w:rPr>
        <w:t>Της Α.Υ.Ο.Ο. ΠΟΛ 1285/31.12.2013 (ΦΕΚ Β΄54/16-1-2014)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η)</w:t>
      </w:r>
      <w:r>
        <w:rPr>
          <w:lang w:val="en" w:eastAsia="en"/>
        </w:rPr>
        <w:tab/>
      </w:r>
      <w:r>
        <w:rPr>
          <w:lang w:val="el" w:eastAsia="el"/>
        </w:rPr>
        <w:t>Της Α.Υ.Ο.Ο. ΠΟΛ 1062/21.2.2014 (ΦΕΚ Β΄592/10-3-2014)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αριθ. Δ. ΟΡΓ. Α 1125859 ΕΞ 2020/23-10-2020 (Β΄ 4738)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 ως ακολούθως:</w:t>
      </w:r>
    </w:p>
    <w:p>
      <w:pPr>
        <w:spacing w:before="240" w:after="240"/>
        <w:rPr>
          <w:lang w:val="el" w:eastAsia="el"/>
        </w:rPr>
      </w:pPr>
      <w:r>
        <w:rPr>
          <w:lang w:val="el" w:eastAsia="el"/>
        </w:rPr>
        <w:t xml:space="preserve">1. Η παράγραφος Β αντικαθίσταται ως εξής: « Η απόσυρση από την χρήση των ανωτέρω τύπων Φ.Η.Μ., ολοκληρώνεται υποχρεωτικά μέχρι την </w:t>
      </w:r>
      <w:r>
        <w:rPr>
          <w:b/>
          <w:bCs/>
          <w:lang w:val="el" w:eastAsia="el"/>
        </w:rPr>
        <w:t>31-3-2021</w:t>
      </w:r>
      <w:r>
        <w:rPr>
          <w:lang w:val="el" w:eastAsia="el"/>
        </w:rPr>
        <w:t>».</w:t>
      </w:r>
    </w:p>
    <w:p>
      <w:pPr>
        <w:spacing w:before="240" w:after="240"/>
        <w:rPr>
          <w:lang w:val="el" w:eastAsia="el"/>
        </w:rPr>
      </w:pPr>
      <w:r>
        <w:rPr>
          <w:lang w:val="el" w:eastAsia="el"/>
        </w:rPr>
        <w:t>2. Το πρώτο εδάφιο της παραγράφου Δ αντικαθίσταται ως εξής: «Οι κάτοχοι των ανωτέρω τύπων Φ.Η.Μ., υποχρεούνται να δηλώσουν μέχρι την 31-3-2021, την παύση αυτών»</w:t>
      </w:r>
    </w:p>
    <w:p>
      <w:pPr>
        <w:spacing w:before="240" w:after="240"/>
        <w:rPr>
          <w:lang w:val="el" w:eastAsia="el"/>
        </w:rPr>
      </w:pPr>
      <w:r>
        <w:rPr>
          <w:lang w:val="el" w:eastAsia="el"/>
        </w:rPr>
        <w:t xml:space="preserve">3. Η παράγραφος Ε αντικαθίσταται ως εξής: «Από την </w:t>
      </w:r>
      <w:r>
        <w:rPr>
          <w:b/>
          <w:bCs/>
          <w:lang w:val="el" w:eastAsia="el"/>
        </w:rPr>
        <w:t xml:space="preserve">1-4-2021 </w:t>
      </w:r>
      <w:r>
        <w:rPr>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w:t>
      </w:r>
    </w:p>
    <w:p>
      <w:pPr>
        <w:pStyle w:val="StructureList1"/>
        <w:spacing w:before="120" w:after="0"/>
        <w:rPr>
          <w:lang w:val="el" w:eastAsia="el"/>
        </w:rPr>
      </w:pPr>
      <w:r>
        <w:rPr>
          <w:lang w:val="el" w:eastAsia="el"/>
        </w:rPr>
        <w:t>β)</w:t>
      </w:r>
      <w:r>
        <w:rPr>
          <w:lang w:val="en" w:eastAsia="en"/>
        </w:rPr>
        <w:tab/>
      </w:r>
      <w:r>
        <w:rPr>
          <w:lang w:val="el" w:eastAsia="el"/>
        </w:rPr>
        <w:t>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b/>
          <w:bCs/>
          <w:lang w:val="el" w:eastAsia="el"/>
        </w:rPr>
        <w:t>7.</w:t>
      </w:r>
      <w:r>
        <w:rPr>
          <w:lang w:val="el" w:eastAsia="el"/>
        </w:rPr>
        <w:t>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