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83217</w:t>
      </w:r>
    </w:p>
    <w:p>
      <w:pPr>
        <w:pStyle w:val="PreambelText"/>
        <w:spacing w:before="240" w:after="240"/>
        <w:rPr>
          <w:lang w:val="el" w:eastAsia="el"/>
        </w:rPr>
      </w:pPr>
      <w:r>
        <w:rPr>
          <w:b/>
          <w:bCs/>
          <w:lang w:val="el" w:eastAsia="el"/>
        </w:rPr>
        <w:t>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δημοσίας υγείας και την διαμόρφωση θετικής πεποίθησης και ενεργού συμμετοχής των πολιτών στον εμβολιασμό έναντι του κορωνοϊού COVID-19.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74 του ν. 4761/2020 «Αναδιοργάνωση του Ταμείου Αρχαιολογικών Πόρων και Απαλλοτριώσεων και μετονομασία του σε Οργανισμό Διαχείρισης και Ανάπτυξης Πολιτιστικών Πόρων, προβολή της πολιτιστικής κληρονομιάς στο εξωτερικό, ρυθμίσεις για το Ιστορικό Μουσείο Κρήτης και το μουσείο «Φοίβος Ανωγειανάκης» και άλλες διατάξεις» (Α’ 248),</w:t>
      </w:r>
    </w:p>
    <w:p>
      <w:pPr>
        <w:pStyle w:val="PreambelText"/>
        <w:spacing w:before="240" w:after="240"/>
        <w:rPr>
          <w:lang w:val="el" w:eastAsia="el"/>
        </w:rPr>
      </w:pPr>
      <w:r>
        <w:rPr>
          <w:lang w:val="el" w:eastAsia="el"/>
        </w:rPr>
        <w:t>β.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γ.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όπως διατηρήθηκε σε ισχύ με την περ. 22 του άρθρου 119 του ν. 4622/2019 (Α’ 133)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δ.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ε.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στ. του π.δ. 83/2019 «Διορισμός Αντιπροέδρου της Κυβέρνησης, Υπουργών, Αναπληρωτών Υπουργών και Υφυπουργών» (Α’ 121) - «Διόρθωση σφαλμάτων» (Α’ 126), ζ. του άρθρου 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η. του π.δ. 62/2020 «Διορισμός Αναπληρωτών Υπουργών και Υφυπουργών» (Α’ 155),</w:t>
      </w:r>
    </w:p>
    <w:p>
      <w:pPr>
        <w:pStyle w:val="PreambelText"/>
        <w:spacing w:before="240" w:after="240"/>
        <w:rPr>
          <w:lang w:val="el" w:eastAsia="el"/>
        </w:rPr>
      </w:pPr>
      <w:r>
        <w:rPr>
          <w:lang w:val="el" w:eastAsia="el"/>
        </w:rPr>
        <w:t>θ. του π.δ. 142/2017 «Οργανισμός του Υπουργείου Οικονομικών» (Α’ 181),</w:t>
      </w:r>
    </w:p>
    <w:p>
      <w:pPr>
        <w:pStyle w:val="PreambelText"/>
        <w:spacing w:before="240" w:after="240"/>
        <w:rPr>
          <w:lang w:val="el" w:eastAsia="el"/>
        </w:rPr>
      </w:pPr>
      <w:r>
        <w:rPr>
          <w:lang w:val="el" w:eastAsia="el"/>
        </w:rPr>
        <w:t>ι.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ια. Του π.δ. 121/2017 «Οργανισμός του Υπουργείου Υγείας» (Α’ 148).</w:t>
      </w:r>
    </w:p>
    <w:p>
      <w:pPr>
        <w:pStyle w:val="PreambelText"/>
        <w:spacing w:before="240" w:after="240"/>
        <w:rPr>
          <w:lang w:val="el" w:eastAsia="el"/>
        </w:rPr>
      </w:pPr>
      <w:r>
        <w:rPr>
          <w:lang w:val="el" w:eastAsia="el"/>
        </w:rPr>
        <w:t>2. Την υπό στοιχεία Α1β/Γ.Π.οικ. 81586/17.12.2020 απόφαση του Υπουργού Υγείας (Α.Δ.Α: 6ZNY465ΦΥΟ-27Ε) «Συγκρότηση και ορισμός μελών στην Τριμελή Επιτροπή Οργάνωσης της Εθνικής Εκστρατείας Εμβολιασμού κατά του κορωνοιού COVID-19 (Εθνικής Εκστρατείας)».</w:t>
      </w:r>
    </w:p>
    <w:p>
      <w:pPr>
        <w:pStyle w:val="PreambelText"/>
        <w:spacing w:before="240" w:after="240"/>
        <w:rPr>
          <w:lang w:val="el" w:eastAsia="el"/>
        </w:rPr>
      </w:pPr>
      <w:r>
        <w:rPr>
          <w:lang w:val="el" w:eastAsia="el"/>
        </w:rPr>
        <w:t>3. Την υπό στοιχεία Β1α 83063/23.12.2020 εισήγηση του Προϊσταμένου της Γενικής Διεύθυνσης Οικονομικών Υπηρεσιών, όπως αυτή προβλέπεται στις διατάξεις της παρ. 5 του άρθρου 24 του ν. 4270/2014 (Α’ 143), σύμφωνα με την οποία προκύπτει, ότι από το περιεχόμενο της εν λόγω κοινής υπουργικής απόφασης προκαλείται δαπάνη σε βάρος του προϋπολογισμού, το ύψος της οποίας εκτιμάται ότι θα ανέλθει μέχρι τα 18.500.000 € και αφορά στην ανάθεση εκστρατείας επικοινωνίας και ενημέρωσης των πολιτών για τις δράσεις που θα αναληφθούν σχετικά με τον εμβολιασμό κατά του COVID-19. H εν λόγω δαπάνη θα βαρύνει τον προϋπολογισμό του Υπουργείου Υγείας και θα καλυφθεί με έκτακτη οικονομική ενίσχυση,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κορωνοϊό»του Φ./Ε.Φ. 1023-711-0000000 (Γενικές Κρατικές Δαπάνες) του Υπουργείου Οικονομικών.</w:t>
      </w:r>
    </w:p>
    <w:p>
      <w:pPr>
        <w:pStyle w:val="PreambelText"/>
        <w:spacing w:before="240" w:after="240"/>
        <w:rPr>
          <w:lang w:val="el" w:eastAsia="el"/>
        </w:rPr>
      </w:pPr>
      <w:r>
        <w:rPr>
          <w:lang w:val="el" w:eastAsia="el"/>
        </w:rPr>
        <w:t>4. Την κατεπείγουσα ανάγκη οργανωμένης και στοχευμένης ενημέρωσης του κοινού για θέματα που άπτονται της προστασίας της δημόσιας υγείας και ιδίως την ανάγκη διαμόρφωσης θετικής πεποίθησης και ενεργού συμμετοχής των πολιτών στον εμβολιασμό έναντι του COVID-19.</w:t>
      </w:r>
    </w:p>
    <w:p>
      <w:pPr>
        <w:pStyle w:val="PreambelText"/>
        <w:spacing w:before="240" w:after="240"/>
        <w:rPr>
          <w:lang w:val="el" w:eastAsia="el"/>
        </w:rPr>
      </w:pPr>
      <w:r>
        <w:rPr>
          <w:lang w:val="el" w:eastAsia="el"/>
        </w:rPr>
        <w:t>5. Την επιτακτική ανάγκη ανάθεσης σε κατεπείγουσα βάση υπηρεσιών επικοινωνίας και ενημέρωσης σε εταιρία εγνωσμένου κύρους που δραστηριοποιείται στη σχετική αγορά και άμεσης διενέργειας εκστρατείας επικοινωνίας και ενημέρωσης των πολιτών για την ευαισθητοποίηση και την ενημέρωση των πολιτών στο εμβολιασμό έναντι του COVID-19,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Ανάθεση εκστρατείας επικοινωνίας και ενημέρωσης των πολιτών</w:t>
      </w:r>
    </w:p>
    <w:p>
      <w:pPr>
        <w:pStyle w:val="MainText"/>
        <w:spacing w:before="120" w:after="0"/>
        <w:rPr>
          <w:lang w:val="el" w:eastAsia="el"/>
        </w:rPr>
      </w:pPr>
      <w:r>
        <w:rPr>
          <w:b/>
          <w:bCs/>
          <w:lang w:val="el" w:eastAsia="el"/>
        </w:rPr>
        <w:t>1.</w:t>
      </w:r>
      <w:r>
        <w:rPr>
          <w:lang w:val="el" w:eastAsia="el"/>
        </w:rPr>
        <w:t xml:space="preserve"> Σύμφωνα με το άρθρο 74 του ν. 4761/2020 (Α’ 248) «Αναδιοργάνωση του Ταμείου Αρχαιολογικών Πόρων και Απαλλοτριώσεων και μετονομασία του σε Οργανισμό Διαχείρισης και Ανάπτυξης Πολιτιστικών Πόρων, προβολή της πολιτιστικής κληρονομιάς στο εξωτερικό, ρυθμίσεις για το Ιστορικό Μουσείο Κρήτης και το μουσείο «Φοίβος Ανωγειανάκης» και άλλες διατάξεις» (Α’ 248), το Υπουργείο Υγείας οργανώνει Εθνική Εκστρατεία Εμβολιασμού κατά του κορωνοϊού COVID-19 (Εθνική Εκστρατεία) με αντικείμενο τη διαμόρφωση θετικής πεποίθησης και ενεργού συμμετοχής των πολιτών στον εμβολιασμό έναντι του κορωνοϊού COVID-19.</w:t>
      </w:r>
    </w:p>
    <w:p>
      <w:pPr>
        <w:pStyle w:val="MainText"/>
        <w:spacing w:before="120" w:after="0"/>
        <w:rPr>
          <w:lang w:val="el" w:eastAsia="el"/>
        </w:rPr>
      </w:pPr>
      <w:r>
        <w:rPr>
          <w:b/>
          <w:bCs/>
          <w:lang w:val="el" w:eastAsia="el"/>
        </w:rPr>
        <w:t>2.</w:t>
      </w:r>
      <w:r>
        <w:rPr>
          <w:lang w:val="el" w:eastAsia="el"/>
        </w:rPr>
        <w:t xml:space="preserve"> Η Τριμελής Επιτροπή Οργάνωσης της Εθνικής Εκστρατείας αναθέτει στον ανάδοχο που θα αναδειχθεί από τη διαδικασία που περιγράφεται στην περ. β) της παρ. 3 του άρθρου 74 του ν. 4761/2020 τη διάθεση, με κάθε πρόσφορο μέσο, έντυπο, οπτικοακουστικό ή ηλεκτρονικό, των μηνυμάτων και του υλικού της Εθνικής Εκστρατείας Εμβολιασμού κατά του κορωνοϊού COVID-19 προς τον σκοπό της πληροφόρησης των πολιτών ως προς όλα τα επιμέρους ζητήματα που σχετίζονται με τον εμβολιασμό τους, τα οφέλη, τα μέτρα προστασίας, τη διαδικασία, καθώς και την ασφαλή και σύμφωνη με τον κρατικό προγραμματισμό συμμετοχή τους στον εμβολιασμό έναντι του κορωνοϊού COVID-19.</w:t>
      </w:r>
    </w:p>
    <w:p>
      <w:pPr>
        <w:pStyle w:val="MainText"/>
        <w:spacing w:before="120" w:after="0"/>
        <w:rPr>
          <w:lang w:val="el" w:eastAsia="el"/>
        </w:rPr>
      </w:pPr>
      <w:r>
        <w:rPr>
          <w:b/>
          <w:bCs/>
          <w:lang w:val="el" w:eastAsia="el"/>
        </w:rPr>
        <w:t>3.</w:t>
      </w:r>
      <w:r>
        <w:rPr>
          <w:lang w:val="el" w:eastAsia="el"/>
        </w:rPr>
        <w:t xml:space="preserve"> Η εκπόνηση σχεδίου εκστρατείας περιλαμβάνει:</w:t>
      </w:r>
    </w:p>
    <w:p>
      <w:pPr>
        <w:spacing w:before="240" w:after="240"/>
        <w:rPr>
          <w:lang w:val="el" w:eastAsia="el"/>
        </w:rPr>
      </w:pPr>
      <w:r>
        <w:rPr>
          <w:lang w:val="el" w:eastAsia="el"/>
        </w:rPr>
        <w:t>Ως προς την παροχή υπηρεσιών της περ. β) της παρ. 3 του άρθρου 74 του ν. 4761/2020.</w:t>
      </w:r>
    </w:p>
    <w:p>
      <w:pPr>
        <w:pStyle w:val="StructureList1"/>
        <w:spacing w:before="120" w:after="0"/>
        <w:rPr>
          <w:lang w:val="el" w:eastAsia="el"/>
        </w:rPr>
      </w:pPr>
      <w:r>
        <w:rPr>
          <w:lang w:val="el" w:eastAsia="el"/>
        </w:rPr>
        <w:t>α)</w:t>
      </w:r>
      <w:r>
        <w:rPr>
          <w:lang w:val="en" w:eastAsia="en"/>
        </w:rPr>
        <w:tab/>
      </w:r>
      <w:r>
        <w:rPr>
          <w:lang w:val="el" w:eastAsia="el"/>
        </w:rPr>
        <w:t>το σχεδιασμό, οργάνωση της επικοινωνιακής στρατηγικής, της τοποθέτησης, του χρόνου προβολής και του τρόπου προβολής στο σύνολο των Μέσων Μαζικής Ενημέρωσης και ειδικότερα από τους τηλεοπτικούς σταθμούς, από τον έντυπο τύπο, από τα ηλεκτρονικά μέσα με χρήση ηλεκτρονικών εφαρμογών και internet, από τον περιφερειακό τύπο, από ραδιοφωνικά μέσα κατά παρέκκλιση ειδικότερων διατάξεων που αφορούν στη μετάδοση των σχετικών μηνυμάτων από αυτά,</w:t>
      </w:r>
    </w:p>
    <w:p>
      <w:pPr>
        <w:pStyle w:val="StructureList1"/>
        <w:spacing w:before="120" w:after="0"/>
        <w:rPr>
          <w:lang w:val="el" w:eastAsia="el"/>
        </w:rPr>
      </w:pPr>
      <w:r>
        <w:rPr>
          <w:lang w:val="el" w:eastAsia="el"/>
        </w:rPr>
        <w:t>β)</w:t>
      </w:r>
      <w:r>
        <w:rPr>
          <w:lang w:val="en" w:eastAsia="en"/>
        </w:rPr>
        <w:tab/>
      </w:r>
      <w:r>
        <w:rPr>
          <w:lang w:val="el" w:eastAsia="el"/>
        </w:rPr>
        <w:t>τη διαμόρφωση του σχεδιασμού της επικοινωνιακής στρατηγικής και της τοποθέτησης στα Μέσα Μαζικής Ενημέρωσης με την ενδεδειγμένη παραμετροποίηση που αφορά όλες τις ομάδες αποδεκτών και συγκεκριμένα τις πληθυσμιακές ομάδες που ορίζονται στο πλαίσιο της παρ. 1 του άρθρου 74 του ν. 4761/2020, με κριτήρια την τηλεθέαση των τηλεοπτικών σταθμών, βάσει της διαθέσιμης μέτρησης από ανεξάρτητο φορέα, όπου αυτός υφίσταται, ή με κριτήρια δημοφιλίας, καθώς και με αναφορά στον βαθμό ανταπόκρισης και απήχησης σε κάθε ηλικιακή ομάδα, συμπράττοντα φορέα, κατά τον αποτελεσματικότερο οικονομικά τρόπο.</w:t>
      </w:r>
    </w:p>
    <w:p>
      <w:pPr>
        <w:spacing w:before="240" w:after="240"/>
        <w:rPr>
          <w:lang w:val="el" w:eastAsia="el"/>
        </w:rPr>
      </w:pPr>
      <w:r>
        <w:rPr>
          <w:lang w:val="el" w:eastAsia="el"/>
        </w:rPr>
        <w:t>Για τα ως άνω θα υποβληθούν από τον ανάδοχο αντίστοιχα παραδοτέα.</w:t>
      </w:r>
    </w:p>
    <w:p>
      <w:pPr>
        <w:pStyle w:val="MainText"/>
        <w:spacing w:before="120" w:after="0"/>
        <w:rPr>
          <w:lang w:val="el" w:eastAsia="el"/>
        </w:rPr>
      </w:pPr>
      <w:r>
        <w:rPr>
          <w:b/>
          <w:bCs/>
          <w:lang w:val="el" w:eastAsia="el"/>
        </w:rPr>
        <w:t>4.</w:t>
      </w:r>
      <w:r>
        <w:rPr>
          <w:lang w:val="el" w:eastAsia="el"/>
        </w:rPr>
        <w:t xml:space="preserve"> Ως συναφής υπηρεσία, για την εφαρμογή της παρούσας, λογίζεται η υπηρεσία παρακολούθησης της ομαλής υλοποίησης της εκστρατείας με την προσκόμιση στοιχείων, μετρήσεων και αναφορών απόδοσης, καθώς και βεβαιώσεων καλής εκτέλεσης με βάση τις οποίες γίνεται η αποπληρωμή των Μέσων Μαζικής Επικοινωνίας και κάθε μέσου προβολής που μεταδίδουν τα σχετικά μηνύματα, καθώς και κάθε άλλη τυχόν αναγκαία υπηρεσία για την υλοποίηση αυτής, συμπεριλαμβανομένης της διαπραγμάτευσης με τα Μέσα Μαζικής Ενημέρωσης και κάθε μέσου προβολής για λογαριασμό της αναθέτουσας αρχής προκειμένου να επιτευχθούν οι πλέον συμφέρουσες τιμές σε συνδυασμό με την καλύτερη δυνατή θέση προβολής για την μετάδοση των μηνυμάτων της εκστρατείας προς όφελος των πολιτών και της ενημέρωσής τους.</w:t>
      </w:r>
    </w:p>
    <w:p>
      <w:pPr>
        <w:pStyle w:val="MainText"/>
        <w:spacing w:before="120" w:after="0"/>
        <w:rPr>
          <w:lang w:val="el" w:eastAsia="el"/>
        </w:rPr>
      </w:pPr>
      <w:r>
        <w:rPr>
          <w:b/>
          <w:bCs/>
          <w:lang w:val="el" w:eastAsia="el"/>
        </w:rPr>
        <w:t>5.</w:t>
      </w:r>
      <w:r>
        <w:rPr>
          <w:lang w:val="el" w:eastAsia="el"/>
        </w:rPr>
        <w:t xml:space="preserve"> Οι ειδικότεροι όροι παροχής των υπηρεσιών θα καθορισθούν στη σύμβαση που θα υπογραφεί με τον ανάδοχο.</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ανάθεσης υπηρεσιών</w:t>
      </w:r>
    </w:p>
    <w:p>
      <w:pPr>
        <w:pStyle w:val="MainText"/>
        <w:spacing w:before="120" w:after="0"/>
        <w:rPr>
          <w:lang w:val="el" w:eastAsia="el"/>
        </w:rPr>
      </w:pPr>
      <w:r>
        <w:rPr>
          <w:b/>
          <w:bCs/>
          <w:lang w:val="el" w:eastAsia="el"/>
        </w:rPr>
        <w:t>1.</w:t>
      </w:r>
      <w:r>
        <w:rPr>
          <w:lang w:val="el" w:eastAsia="el"/>
        </w:rPr>
        <w:t xml:space="preserve"> H ανάθεση της παροχής της υπηρεσίας επικοινωνίας και ενημέρωσης σε ανάδοχο θα πραγματοποιηθεί από την Τριμελή Επιτροπή Οργάνωσης της Εθνικής Εκστρατείας κατ’ εφαρμογή της περ. γ) της παρ. 2 του άρθρου 32 του ν. 4412/2016, και κατά παρέκκλιση ειδικότερων διατάξεων που αφορούν στην ανάθεση σχετικών υπηρεσιών.</w:t>
      </w:r>
    </w:p>
    <w:p>
      <w:pPr>
        <w:pStyle w:val="MainText"/>
        <w:spacing w:before="120" w:after="0"/>
        <w:rPr>
          <w:lang w:val="el" w:eastAsia="el"/>
        </w:rPr>
      </w:pPr>
      <w:r>
        <w:rPr>
          <w:b/>
          <w:bCs/>
          <w:lang w:val="el" w:eastAsia="el"/>
        </w:rPr>
        <w:t>2.</w:t>
      </w:r>
      <w:r>
        <w:rPr>
          <w:lang w:val="el" w:eastAsia="el"/>
        </w:rPr>
        <w:t xml:space="preserve"> Η Τριμελής Επιτροπή Οργάνωσης της Εθνικής Εκστρατείας του Υπουργείου Υγείας ως αναθέτουσα αρχή, θα απευθύνει πρόσκληση σε διαδικασία με διαπραγμάτευση χωρίς προηγούμενη δημοσίευση σε πέντε (5) τουλάχιστον οικονομικούς φορείς εγνωσμένου κύρους σε σχέση με το αντικείμενο της υπό σύναψη σύμβασης, φυσικά πρόσωπα, νομικά πρόσωπα ή ενώσεις προσώπων που παρέχουν υπηρεσίες διαφήμισης και επικοινωνίας για την υποβολή προσφοράς. Οι προσκαλούμενοι φορείς δύνανται να συμμετέχουν είτε μεμονωμένα είτε ως μέλη ένωσης.</w:t>
      </w:r>
    </w:p>
    <w:p>
      <w:pPr>
        <w:pStyle w:val="MainText"/>
        <w:spacing w:before="120" w:after="0"/>
        <w:rPr>
          <w:lang w:val="el" w:eastAsia="el"/>
        </w:rPr>
      </w:pPr>
      <w:r>
        <w:rPr>
          <w:b/>
          <w:bCs/>
          <w:lang w:val="el" w:eastAsia="el"/>
        </w:rPr>
        <w:t>3.</w:t>
      </w:r>
      <w:r>
        <w:rPr>
          <w:lang w:val="el" w:eastAsia="el"/>
        </w:rPr>
        <w:t xml:space="preserve"> Η σύμβαση θα ανατεθεί με κριτήριο αξιολόγησης την πλέον συμφέρουσα από οικονομική άποψη προσφορά βάσει μόνο τιμής προσφοράς.</w:t>
      </w:r>
    </w:p>
    <w:p>
      <w:pPr>
        <w:pStyle w:val="MainText"/>
        <w:spacing w:before="120" w:after="0"/>
        <w:rPr>
          <w:lang w:val="el" w:eastAsia="el"/>
        </w:rPr>
      </w:pPr>
      <w:r>
        <w:rPr>
          <w:b/>
          <w:bCs/>
          <w:lang w:val="el" w:eastAsia="el"/>
        </w:rPr>
        <w:t>4.</w:t>
      </w:r>
      <w:r>
        <w:rPr>
          <w:lang w:val="el" w:eastAsia="el"/>
        </w:rPr>
        <w:t xml:space="preserve"> Η αξιολόγηση των προσφορών που θα υποβληθούν θα γίνει από την Τριμελή Επιτροπή Οργάνωσης της Εθνικής Εκστρατείας, που έχει συσταθεί μεταξύ άλλων για το σκοπό αυτό.</w:t>
      </w:r>
    </w:p>
    <w:p>
      <w:pPr>
        <w:pStyle w:val="MainText"/>
        <w:spacing w:before="120" w:after="0"/>
        <w:rPr>
          <w:lang w:val="el" w:eastAsia="el"/>
        </w:rPr>
      </w:pPr>
      <w:r>
        <w:rPr>
          <w:b/>
          <w:bCs/>
          <w:lang w:val="el" w:eastAsia="el"/>
        </w:rPr>
        <w:t>5.</w:t>
      </w:r>
      <w:r>
        <w:rPr>
          <w:lang w:val="el" w:eastAsia="el"/>
        </w:rPr>
        <w:t xml:space="preserve"> Η διάρκεια της σύμβασης ορίζεται έως την 30η Ιουνίου 2021, με έναρξη ισχύος από την ημερομηνία υπογραφής της.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Προϋπολογισμός</w:t>
      </w:r>
    </w:p>
    <w:p>
      <w:pPr>
        <w:pStyle w:val="MainText"/>
        <w:spacing w:before="120" w:after="0"/>
        <w:rPr>
          <w:lang w:val="el" w:eastAsia="el"/>
        </w:rPr>
      </w:pPr>
      <w:r>
        <w:rPr>
          <w:b/>
          <w:bCs/>
          <w:lang w:val="el" w:eastAsia="el"/>
        </w:rPr>
        <w:t>1.</w:t>
      </w:r>
      <w:r>
        <w:rPr>
          <w:lang w:val="el" w:eastAsia="el"/>
        </w:rPr>
        <w:t xml:space="preserve"> Η εκτιμώμενη αξία της σύμβασης της περ. β) της παρ. 3 του άρθρου 74 του ν. 4761/2020, ανέρχεται στο ποσό των δεκατεσσάρων εκατομμυρίων εννιακοσίων δέκα εννέα χιλιάδων τριακοσίων πενήντα τεσσάρων ευρώ και ογδόντα λεπτών (€ 14.919.354,80) πλέον του αναλογούντος Φ.Π.Α. 24%, ποσού τριών εκατομμυρίων πεντακοσίων ογδόντα χιλιάδων εξακοσίων σαράντα πέντε ευρώ και είκοσι λεπτών (€ 3.580.645,20), ήτοι συνολικά δεκαοκτώ εκατομμύρια πεντακόσιες χιλιάδες ευρώ (€ 18.500.000) και θα βαρύνει τις πιστώσεις του ΕΦ 1015-202 ΑΛΕ 2420906001 του προϋπολογισμού του Υπουργείου Υγείας έτους 2021.</w:t>
      </w:r>
    </w:p>
    <w:p>
      <w:pPr>
        <w:pStyle w:val="MainText"/>
        <w:spacing w:before="120" w:after="0"/>
        <w:rPr>
          <w:lang w:val="el" w:eastAsia="el"/>
        </w:rPr>
      </w:pPr>
      <w:r>
        <w:rPr>
          <w:b/>
          <w:bCs/>
          <w:lang w:val="el" w:eastAsia="el"/>
        </w:rPr>
        <w:t>2.</w:t>
      </w:r>
      <w:r>
        <w:rPr>
          <w:lang w:val="el" w:eastAsia="el"/>
        </w:rPr>
        <w:t xml:space="preserve"> Η αμοιβή του αναδόχου δεν μπορεί να υπερβαίνει το 3% επί της εκτιμώμενης αξίας της σύμβασης.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εκτέλεσης σύμβασης - πληρωμής συμβατικού τιμήματος</w:t>
      </w:r>
    </w:p>
    <w:p>
      <w:pPr>
        <w:pStyle w:val="MainText"/>
        <w:spacing w:before="120" w:after="0"/>
        <w:rPr>
          <w:lang w:val="el" w:eastAsia="el"/>
        </w:rPr>
      </w:pPr>
      <w:r>
        <w:rPr>
          <w:b/>
          <w:bCs/>
          <w:lang w:val="el" w:eastAsia="el"/>
        </w:rPr>
        <w:t>1.</w:t>
      </w:r>
      <w:r>
        <w:rPr>
          <w:lang w:val="el" w:eastAsia="el"/>
        </w:rPr>
        <w:t xml:space="preserve"> Την παρακολούθηση της ορθής εκτέλεσης της σύμβασης από τον ανάδοχο έχει η Τριμελής Επιτροπή Οργάνωσης της Εθνικής Εκστρατείας η οποία επιλέγει τον ανάδοχο κατά την ανωτέρω περιγραφόμενη διαδικασία σύμφωνα με το περιεχόμενο και τους όρους της σχετικής πρόσκλησης και έχει την υποχρέωση της παρακολούθησης της ορθής εκτέλεσης της σύμβασης από τον ανάδοχο.</w:t>
      </w:r>
    </w:p>
    <w:p>
      <w:pPr>
        <w:pStyle w:val="MainText"/>
        <w:spacing w:before="120" w:after="0"/>
        <w:rPr>
          <w:lang w:val="el" w:eastAsia="el"/>
        </w:rPr>
      </w:pPr>
      <w:r>
        <w:rPr>
          <w:b/>
          <w:bCs/>
          <w:lang w:val="el" w:eastAsia="el"/>
        </w:rPr>
        <w:t>2.</w:t>
      </w:r>
      <w:r>
        <w:rPr>
          <w:lang w:val="el" w:eastAsia="el"/>
        </w:rPr>
        <w:t xml:space="preserve"> Η παραλαβή των υπηρεσιών και των παραδοτέων θα πραγματοποιείται με τη σύνταξη και έγκριση σχετικού πρωτοκόλλου οριστικής παραλαβής από την ειδική επιτροπή παραλαβής, που θα συσταθεί με νεότερη απόφαση σύμφωνα με την παρ. 6 του άρθρου 74 του ν. 4761/2020, τα μέλη της οποίας θα γνωστοποιηθούν εγγράφως στον ανάδοχο το αργότερο εντός πέντε (5) εργασίμων ημερών από την υπογραφή της σύμβασης.</w:t>
      </w:r>
    </w:p>
    <w:p>
      <w:pPr>
        <w:pStyle w:val="MainText"/>
        <w:spacing w:before="120" w:after="0"/>
        <w:rPr>
          <w:lang w:val="el" w:eastAsia="el"/>
        </w:rPr>
      </w:pPr>
      <w:r>
        <w:rPr>
          <w:b/>
          <w:bCs/>
          <w:lang w:val="el" w:eastAsia="el"/>
        </w:rPr>
        <w:t>3.</w:t>
      </w:r>
      <w:r>
        <w:rPr>
          <w:lang w:val="el" w:eastAsia="el"/>
        </w:rPr>
        <w:t xml:space="preserve"> Η καταβολή του συμβατικού τιμήματος θα πραγματοποιηθεί από τη ΓΔΟΥ του Υπουργείου Υγείας μετά την ολοκλήρωση και οριστική ή τμηματική παραλαβή των παρεχομένων υπηρεσιών και του συνόλου των παραδοτέων, όπως περιγράφονται στο άρθρο 1 και εφόσον υποβληθούν τα απαραίτητα δικαιολογητικά, ήτοι τιμολόγιο παροχής υπηρεσιών, πρωτόκολλο οριστικής παραλαβής, πιστοποιητικό ασφαλιστικής ενημερότητας και πιστοποιητικό φορολογικής ενημερότητας, και οποιοδήποτε τυχόν άλλο απαιτηθεί. Ενόψει του είδους των παρεχόμενων υπηρεσιών και της διάρκειας της σύμβασης, η καταβολή του συμβατικού τιμήματος μπορεί να διενεργείται και με την ολοκλήρωση τμηματικών παραλαβών των παρεχόμενων υπηρεσιών και των αναλογούντων παραδοτέων του έργου, ανά δίμηνο από την ημερομηνία υπογραφής της παρούσας σύμβασης, με αναλυτική αναφορά προϋπολογισμού εξόδων, φόρων, αμοιβής αναδόχου και αμοιβών. Για την διενέργεια τμηματικών εξοφλήσεων ανά δίμηνο, ο ανάδοχος πρέπει να προσκομίζει τα απαραίτητα δικαιολογητικά του εδαφίου 1 της παρούσας παραγράφου. Για την τμηματική παραλαβή ο ανάδοχος θα πρέπει να έχει προσκομίσει εγκεκριμένο από την αναθέτουσα αρχή πλάνο εκστρατείας με χρονική διάρκεια διμήνου, να υποβάλει, πέραν των ανωτέρω δικαιολογητικών, αποδεικτικά υλοποίησης του πλάνου εκστρατείας για το προηγούμενο δίμηνο. Μετά την υποβολή των ανωτέρω στην ειδική επιτροπή παραλαβής, η ειδική επιτροπή συντάσσει σχετικό πρωτόκολλο τμηματικής παραλαβής στο πλαίσιο του οποίου πιστοποιεί την καλή εκτέλεση των παρεχόμενων υπηρεσιών εκ μέρους του αναδόχου και των συνεργαζόμενων ΜΜΕ και παντός μέσου για το αντίστοιχο δίμηνο.</w:t>
      </w:r>
    </w:p>
    <w:p>
      <w:pPr>
        <w:pStyle w:val="MainText"/>
        <w:spacing w:before="120" w:after="0"/>
        <w:rPr>
          <w:lang w:val="el" w:eastAsia="el"/>
        </w:rPr>
      </w:pPr>
      <w:r>
        <w:rPr>
          <w:b/>
          <w:bCs/>
          <w:lang w:val="el" w:eastAsia="el"/>
        </w:rPr>
        <w:t>4.</w:t>
      </w:r>
      <w:r>
        <w:rPr>
          <w:lang w:val="el" w:eastAsia="el"/>
        </w:rPr>
        <w:t xml:space="preserve"> Το συμβατικό τίμημα περιλαμβάνει την αμοιβή του αναδόχου καθώς και κάθε απαίτηση του αναδόχου, του Δημοσίου ή τρίτου, σχετική με τις υπηρεσίες. Η αμοιβή αυτή είναι σταθερή και δεν θα μεταβληθεί για οποιονδήποτε λόγο. Στην αμοιβή αυτή περιλαμβάνονται οι κάθε είδους υπέρ τρίτων κρατήσεις, ως και κάθε άλλη φορολογική ή άλλου είδους επιβάρυνση, για την παροχή των υπηρεσιών, σύμφωνα με την κείμενη νομοθεσία. Ειδικότερα, δαπάνες για ημερομίσθια με τις νόμιμες προσαυξήσεις για τις εισφορές του εργοδότη, δώρα, έκτακτες αμοιβές, αποζημιώσεις λόγω απολύσεως, οδοιπορικά κ.λπ. βαρύνουν αποκλειστικά και μόνον τον ανάδοχο. Ο ανάδοχος δεν δικαιούται αμοιβής για υπερωριακή απασχόληση του προσωπικού του για οποιονδήποτε λόγο.</w:t>
      </w:r>
    </w:p>
    <w:p>
      <w:pPr>
        <w:spacing w:before="240" w:after="240"/>
        <w:rPr>
          <w:lang w:val="el" w:eastAsia="el"/>
        </w:rPr>
      </w:pPr>
      <w:r>
        <w:rPr>
          <w:lang w:val="el" w:eastAsia="el"/>
        </w:rPr>
        <w:t>Ο Ανάδοχος βαρύνεται ιδίως με τις ακόλουθες κρατήσεις:</w:t>
      </w:r>
    </w:p>
    <w:p>
      <w:pPr>
        <w:pStyle w:val="StructureList1"/>
        <w:spacing w:before="120" w:after="0"/>
        <w:rPr>
          <w:lang w:val="el" w:eastAsia="el"/>
        </w:rPr>
      </w:pPr>
      <w:r>
        <w:rPr>
          <w:lang w:val="el" w:eastAsia="el"/>
        </w:rPr>
        <w:t>α)</w:t>
      </w:r>
      <w:r>
        <w:rPr>
          <w:lang w:val="en" w:eastAsia="en"/>
        </w:rPr>
        <w:tab/>
      </w:r>
      <w:r>
        <w:rPr>
          <w:lang w:val="el" w:eastAsia="el"/>
        </w:rPr>
        <w:t>Κράτηση 0,07% η οποία υπολογίζεται επί της αξίας κάθε πληρωμής προ φόρων και κρατήσεων της σύμβασης υπέρ της Ενιαίας Ανεξάρτητης Αρχής Δημοσίων Συμβάσεων (ΕΑΑΔΗΣΥ).</w:t>
      </w:r>
    </w:p>
    <w:p>
      <w:pPr>
        <w:pStyle w:val="StructureList1"/>
        <w:spacing w:before="120" w:after="0"/>
        <w:rPr>
          <w:lang w:val="el" w:eastAsia="el"/>
        </w:rPr>
      </w:pPr>
      <w:r>
        <w:rPr>
          <w:lang w:val="el" w:eastAsia="el"/>
        </w:rPr>
        <w:t>β)</w:t>
      </w:r>
      <w:r>
        <w:rPr>
          <w:lang w:val="en" w:eastAsia="en"/>
        </w:rPr>
        <w:tab/>
      </w:r>
      <w:r>
        <w:rPr>
          <w:lang w:val="el" w:eastAsia="el"/>
        </w:rPr>
        <w:t>Κράτηση 0,06% η οποία υπολογίζεται επί της αξίας κάθε πληρωμής προ φόρων και κρατήσεων της σύμβασης υπέρ της Αρχής Εξέτασης Προδικαστικών Προσφυγών (ΑΕΠΠ).</w:t>
      </w:r>
    </w:p>
    <w:p>
      <w:pPr>
        <w:spacing w:before="240" w:after="240"/>
        <w:rPr>
          <w:lang w:val="el" w:eastAsia="el"/>
        </w:rPr>
      </w:pPr>
      <w:r>
        <w:rPr>
          <w:lang w:val="el" w:eastAsia="el"/>
        </w:rPr>
        <w:t>Οι υπέρ τρίτων κρατήσεις υπόκεινται στο εκάστοτε ισχύον αναλογικό τέλος χαρτοσήμου 3% και στην επ’ αυτού εισφορά υπέρ ΟΓΑ 20%.</w:t>
      </w:r>
    </w:p>
    <w:p>
      <w:pPr>
        <w:spacing w:before="240" w:after="240"/>
        <w:rPr>
          <w:lang w:val="el" w:eastAsia="el"/>
        </w:rPr>
      </w:pPr>
      <w:r>
        <w:rPr>
          <w:lang w:val="el" w:eastAsia="el"/>
        </w:rPr>
        <w:t>Στην καθαρή αξία του συμβατικού τμήματος και μετά την επιβολή των ανωτέρω κρατήσεων παρακρατείται φόρος εισοδήματος 8%.</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Διαδικασία πληρωμής</w:t>
      </w:r>
    </w:p>
    <w:p>
      <w:pPr>
        <w:spacing w:before="240" w:after="240"/>
        <w:rPr>
          <w:lang w:val="el" w:eastAsia="el"/>
        </w:rPr>
      </w:pPr>
      <w:r>
        <w:rPr>
          <w:lang w:val="el" w:eastAsia="el"/>
        </w:rPr>
        <w:t>Μέσων Μαζικής Ενημέρωσης</w:t>
      </w:r>
    </w:p>
    <w:p>
      <w:pPr>
        <w:spacing w:before="240" w:after="240"/>
        <w:rPr>
          <w:lang w:val="el" w:eastAsia="el"/>
        </w:rPr>
      </w:pPr>
      <w:r>
        <w:rPr>
          <w:lang w:val="el" w:eastAsia="el"/>
        </w:rPr>
        <w:t>Η πληρωμή προς τα Μέσα Μαζικής Ενημέρωσης και κάθε Μέσο προβολής της εκστρατείας πάσης φύσεως πραγματοποιείται από την ΓΔΟΥ του Υπουργείου Υγείας με πρωτόκολλο παράδοσης-παραλαβής ως προς την τμηματική παραλαβή που παρέχεται με ευθύνη της ειδικής επιτροπής παραλαβής, η οποία βεβαιώνει την καλή εκτέλεση και το πληρωτέο ποσό ανά Μέσο Μαζικής Ενημέρωσης και κάθε επιμέρους μέσο Προβολής, βάσει της σχετικής πρότασης του αναδόχου.</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Δεκεμβρίου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