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1/2021</w:t>
      </w:r>
    </w:p>
    <w:p>
      <w:pPr>
        <w:pStyle w:val="Title"/>
        <w:spacing w:before="120" w:after="360"/>
        <w:rPr>
          <w:lang w:val="el" w:eastAsia="el"/>
        </w:rPr>
      </w:pPr>
      <w:r>
        <w:rPr>
          <w:lang w:val="el" w:eastAsia="el"/>
        </w:rPr>
        <w:t>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Σεπτέμβριο ως και Δεκέμβριο 2020</w:t>
      </w:r>
    </w:p>
    <w:p>
      <w:pPr>
        <w:pStyle w:val="Title"/>
        <w:spacing w:before="120" w:after="360"/>
        <w:rPr>
          <w:lang w:val="el" w:eastAsia="el"/>
        </w:rPr>
      </w:pPr>
      <w:r>
        <w:rPr>
          <w:b/>
          <w:bCs/>
          <w:lang w:val="el" w:eastAsia="el"/>
        </w:rPr>
        <w:t>Αριθμ. ΓΔΟΥ 1/2021</w:t>
      </w:r>
    </w:p>
    <w:p>
      <w:pPr>
        <w:pStyle w:val="PreambelText"/>
        <w:spacing w:before="240" w:after="240"/>
        <w:rPr>
          <w:lang w:val="el" w:eastAsia="el"/>
        </w:rPr>
      </w:pPr>
      <w:r>
        <w:rPr>
          <w:lang w:val="el" w:eastAsia="el"/>
        </w:rPr>
        <w:t>(ΦΕΚ Β' 7/04-1-2021)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 (ΕΕ L 187/26-6-2014).</w:t>
      </w:r>
    </w:p>
    <w:p>
      <w:pPr>
        <w:pStyle w:val="PreambelText"/>
        <w:spacing w:before="240" w:after="240"/>
        <w:rPr>
          <w:lang w:val="el" w:eastAsia="el"/>
        </w:rPr>
      </w:pPr>
      <w:r>
        <w:rPr>
          <w:lang w:val="el" w:eastAsia="el"/>
        </w:rPr>
        <w:t>5.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 4046/2012, 4093/2012 και 4172/2013» (Α' 107).</w:t>
      </w:r>
    </w:p>
    <w:p>
      <w:pPr>
        <w:pStyle w:val="PreambelText"/>
        <w:spacing w:before="240" w:after="240"/>
        <w:rPr>
          <w:lang w:val="el" w:eastAsia="el"/>
        </w:rPr>
      </w:pPr>
      <w:r>
        <w:rPr>
          <w:lang w:val="el" w:eastAsia="el"/>
        </w:rPr>
        <w:t>7.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8.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 142/2017 «Οργανισμός Υπουργείου Οικονομικών» (Α' 181) όπως τροποποιήθηκε με το άρθρο 1 του π.δ. 84/2019 (Α' 123).</w:t>
      </w:r>
    </w:p>
    <w:p>
      <w:pPr>
        <w:pStyle w:val="PreambelText"/>
        <w:spacing w:before="240" w:after="240"/>
        <w:rPr>
          <w:lang w:val="el" w:eastAsia="el"/>
        </w:rPr>
      </w:pPr>
      <w:r>
        <w:rPr>
          <w:lang w:val="el" w:eastAsia="el"/>
        </w:rPr>
        <w:t>13. Το π.δ. 147/2017 «Οργανισμός του Υπουργείου Οικονομίας και Ανάπτυξης» (Α' 192) όπως τροποποιήθηκε με το άρθρο 2 του π.δ. 84/2019 (Α' 123).</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Τις διατάξεις του άρθρου 90 του κώδικα νομοθεσίας για την Κυβέρνηση και τα κυβερνητικά όργανα, που κυρώθηκε με το άρθρο πρώτο του π.δ. 63/2005 (Α' 98) και διατηρήθηκε σε ισχύ με την παρ. 22 του άρθρου 119 του ν. 4622/2019 (Α' 133).</w:t>
      </w:r>
    </w:p>
    <w:p>
      <w:pPr>
        <w:pStyle w:val="PreambelText"/>
        <w:spacing w:before="240" w:after="240"/>
        <w:rPr>
          <w:lang w:val="el" w:eastAsia="el"/>
        </w:rPr>
      </w:pPr>
      <w:r>
        <w:rPr>
          <w:lang w:val="el" w:eastAsia="el"/>
        </w:rPr>
        <w:t>16.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από στοιχεία ΓΔΟΥ 281/14-11-2020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κορωνοιού COVID-19, κατά τους μήνες Σεπτέμβριο και Οκτώβριο 2020» (Β' 5047), όπως ισχύει.</w:t>
      </w:r>
    </w:p>
    <w:p>
      <w:pPr>
        <w:pStyle w:val="PreambelText"/>
        <w:spacing w:before="240" w:after="240"/>
        <w:rPr>
          <w:lang w:val="el" w:eastAsia="el"/>
        </w:rPr>
      </w:pPr>
      <w:r>
        <w:rPr>
          <w:lang w:val="el" w:eastAsia="el"/>
        </w:rPr>
        <w:t>20. Την υπ' αρ. Α.1076/2.4.2020 κοινή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21.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22. Την υπό στοιχεία 371 ΕΞ2 021/04-01-2021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23. Το γεγονός ότι από τις διατάξεις της παρούσας απόφασης δεν προκαλείται δαπάνη σε βάρος του κρατικού προϋπολογισμού οικονομικού έτους 2021,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Εκδήλωση ενδιαφέροντος και υποβολή στοιχείων εσόδων</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Επιστρεπτέας Προκαταβολής υποβάλλουν εκδήλωση ενδιαφέροντος στη διαδικτυακή ηλεκτρονική πλατφόρμα με τίτλο «myBusinessSupport» της Ανεξάρτητης Αρχής Δημοσίων Εσόδων (ΑΑΔΕ) οι κάτωθι επιχειρήσεις οι οποίες έχουν πληγεί οικονομικά λόγω της εμφάνισης και διάδοσης του κορωνοϊού COVID-19:</w:t>
      </w:r>
    </w:p>
    <w:p>
      <w:pPr>
        <w:pStyle w:val="StructureList1"/>
        <w:spacing w:before="120" w:after="0"/>
        <w:rPr>
          <w:lang w:val="el" w:eastAsia="el"/>
        </w:rPr>
      </w:pPr>
      <w:r>
        <w:rPr>
          <w:lang w:val="el" w:eastAsia="el"/>
        </w:rPr>
        <w:t>α)</w:t>
      </w:r>
      <w:r>
        <w:rPr>
          <w:lang w:val="en" w:eastAsia="en"/>
        </w:rPr>
        <w:tab/>
      </w:r>
      <w:r>
        <w:rPr>
          <w:lang w:val="el" w:eastAsia="el"/>
        </w:rPr>
        <w:t>Οι Δημοτικές Επιχειρήσεις Ύδρευσης και Αποχέτευσης (Δ.Ε.Υ.Α.) και οι Οργανισμοί Λιμένων.</w:t>
      </w:r>
    </w:p>
    <w:p>
      <w:pPr>
        <w:pStyle w:val="StructureList1"/>
        <w:spacing w:before="120" w:after="0"/>
        <w:rPr>
          <w:lang w:val="el" w:eastAsia="el"/>
        </w:rPr>
      </w:pPr>
      <w:r>
        <w:rPr>
          <w:lang w:val="el" w:eastAsia="el"/>
        </w:rPr>
        <w:t>β)</w:t>
      </w:r>
      <w:r>
        <w:rPr>
          <w:lang w:val="en" w:eastAsia="en"/>
        </w:rPr>
        <w:tab/>
      </w:r>
      <w:r>
        <w:rPr>
          <w:lang w:val="el" w:eastAsia="el"/>
        </w:rPr>
        <w:t xml:space="preserve">Οι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w:t>
      </w:r>
      <w:r>
        <w:rPr>
          <w:b/>
          <w:bCs/>
          <w:lang w:val="el" w:eastAsia="el"/>
        </w:rPr>
        <w:t>με εξαίρεση τις ακόλουθες:</w:t>
      </w:r>
    </w:p>
    <w:p>
      <w:pPr>
        <w:pStyle w:val="StructureList1"/>
        <w:spacing w:before="120" w:after="0"/>
        <w:rPr>
          <w:lang w:val="el" w:eastAsia="el"/>
        </w:rPr>
      </w:pPr>
      <w:r>
        <w:rPr>
          <w:lang w:val="el" w:eastAsia="el"/>
        </w:rPr>
        <w:t>αα)</w:t>
      </w:r>
      <w:r>
        <w:rPr>
          <w:lang w:val="en" w:eastAsia="en"/>
        </w:rPr>
        <w:tab/>
      </w:r>
      <w:r>
        <w:rPr>
          <w:b/>
          <w:bCs/>
          <w:lang w:val="el" w:eastAsia="el"/>
        </w:rPr>
        <w:t>επιχειρήσεις που απασχολούσαν περισσότερους από χίλιους (1.000) εργαζόμενους με σχέση εξαρτημένης εργασίας κατά την 1η Νοεμβρίου 2020,</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 επιχειρήσεις που είναι σε αδράνεια από την 1η Ιουλίου του 2019 και μετά, όπως αυτό προκύπτει από τα στοιχεία που τηρούνται στο φορολογικό Μητρώο της ΑΑΔΕ ή από την υποβολή μηδενικών δηλώσεων ΦΠΑ καθ' όλη την περίοδο αυτή.</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 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b/>
          <w:bCs/>
          <w:lang w:val="el" w:eastAsia="el"/>
        </w:rPr>
        <w:t>δδ)</w:t>
      </w:r>
      <w:r>
        <w:rPr>
          <w:b/>
          <w:bCs/>
          <w:lang w:val="en" w:eastAsia="en"/>
        </w:rPr>
        <w:tab/>
      </w:r>
      <w:r>
        <w:rPr>
          <w:b/>
          <w:bCs/>
          <w:lang w:val="el" w:eastAsia="el"/>
        </w:rPr>
        <w:t>επιχειρήσεις που δεν είναι υπόχρεες σε τήρηση και έκδοση λογιστικών αρχείων,</w:t>
      </w:r>
    </w:p>
    <w:p>
      <w:pPr>
        <w:pStyle w:val="StructureList1"/>
        <w:spacing w:before="120" w:after="0"/>
        <w:rPr>
          <w:lang w:val="el" w:eastAsia="el"/>
        </w:rPr>
      </w:pPr>
      <w:r>
        <w:rPr>
          <w:b/>
          <w:bCs/>
          <w:lang w:val="el" w:eastAsia="el"/>
        </w:rPr>
        <w:t>εε)</w:t>
      </w:r>
      <w:r>
        <w:rPr>
          <w:b/>
          <w:bCs/>
          <w:lang w:val="en" w:eastAsia="en"/>
        </w:rPr>
        <w:tab/>
      </w:r>
      <w:r>
        <w:rPr>
          <w:b/>
          <w:bCs/>
          <w:lang w:val="el" w:eastAsia="el"/>
        </w:rPr>
        <w:t>επιχειρήσεις που έχουν κάνει έναρξη εργασιών μετά την 31η Οκτωβρίου 2020.</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Εκδήλωση ενδιαφέροντος δύνανται να υποβάλλουν οι επιχειρήσεις της προηγούμενης παραγράφου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δεν ήταν προβληματικές στις 31 Δεκεμβρίου 2019 κατά την έννοια του Κανονισμού υπ' αρ. 651/2014 (ΕΕ L 187/26-6-2014) και δεν έχουν στη διάθεσή τους προηγούμενη ενίσχυση η οποία έχει κηρυχθεί ασυμβίβαστη με απόφαση της Ευρωπαϊκής Επιτροπής. Ειδικά οι μικρές και πολύ μικρές επιχειρήσεις, κατά την έννοια του Παραρτήματος Ι του Καν. 651/2014, δύναται να υποβάλλουν εκδήλωση ενδιαφέροντος ακόμη και αν ήταν προβληματικές στις 31/12/2019, υπό την προϋπόθεση ότι:</w:t>
      </w:r>
    </w:p>
    <w:p>
      <w:pPr>
        <w:pStyle w:val="StructureList1"/>
        <w:spacing w:before="120" w:after="0"/>
        <w:rPr>
          <w:lang w:val="el" w:eastAsia="el"/>
        </w:rPr>
      </w:pPr>
      <w:r>
        <w:rPr>
          <w:b/>
          <w:bCs/>
          <w:lang w:val="el" w:eastAsia="el"/>
        </w:rPr>
        <w:t>αα)</w:t>
      </w:r>
      <w:r>
        <w:rPr>
          <w:b/>
          <w:bCs/>
          <w:lang w:val="en" w:eastAsia="en"/>
        </w:rPr>
        <w:tab/>
      </w:r>
      <w:r>
        <w:rPr>
          <w:b/>
          <w:bCs/>
          <w:lang w:val="el" w:eastAsia="el"/>
        </w:rPr>
        <w:t>δεν υπάγονται σε συλλογική πτωχευτική διαδικασία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λάβει ενίσχυση διάσωσης και δεν έχουν ακόμη αποπληρώσει το δάνειο ή λύσει τη σύμβαση εγγύησης, ή δεν έχουν λάβει ενίσχυση αναδιάρθρωσης και υπόκεινται ακόμη σε σχέδιο αναδιάρθρωσης.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πληρούν τις προϋποθέσεις του Κανονισμού υπ' αρ. 1407/2013 (ΕΕ L351/1 της 24-12-2013) και δεν έχουν ήδη εξαντλήσει το τιθέμενο στον Κανονισμό ανώτατο όριο, για την τριετία 2018-2020.</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ενδιαφερόμενες επιχειρήσεις υποβάλλουν στην πλατφόρμα «myBusinessSupport» τα κατωτέρω στοιχεία για τους μήνες Ιανουάριο έως και Δεκέμβριο 2020:</w:t>
      </w:r>
      <w:r>
        <w:rPr>
          <w:rStyle w:val="Hyperlink"/>
          <w:b/>
          <w:bCs/>
          <w:color w:val="000000"/>
          <w:sz w:val="20"/>
          <w:szCs w:val="20"/>
          <w:u w:val="none" w:color="0000EE"/>
          <w:vertAlign w:val="superscript"/>
          <w:lang w:val="el" w:eastAsia="el"/>
        </w:rPr>
        <w:footnoteReference w:id="2"/>
      </w:r>
    </w:p>
    <w:p>
      <w:pPr>
        <w:pStyle w:val="StructureList1"/>
        <w:spacing w:before="120" w:after="0"/>
        <w:rPr>
          <w:lang w:val="el" w:eastAsia="el"/>
        </w:rPr>
      </w:pPr>
      <w:r>
        <w:rPr>
          <w:b/>
          <w:bCs/>
          <w:lang w:val="el" w:eastAsia="el"/>
        </w:rPr>
        <w:t>α)</w:t>
      </w:r>
      <w:r>
        <w:rPr>
          <w:b/>
          <w:bCs/>
          <w:lang w:val="en" w:eastAsia="en"/>
        </w:rPr>
        <w:tab/>
      </w:r>
      <w:r>
        <w:rPr>
          <w:b/>
          <w:bCs/>
          <w:lang w:val="el" w:eastAsia="el"/>
        </w:rPr>
        <w:t>Επιχειρήσεις υποκείμενες σε ΦΠΑ, συμπληρώνουν τον κύκλο εργασιών ΦΠΑ (κωδ. 312 της δήλωσης ΦΠΑ) διακριτά για κάθε μήνα.</w:t>
      </w:r>
    </w:p>
    <w:p>
      <w:pPr>
        <w:pStyle w:val="StructureList1"/>
        <w:spacing w:before="120" w:after="0"/>
        <w:rPr>
          <w:lang w:val="el" w:eastAsia="el"/>
        </w:rPr>
      </w:pPr>
      <w:r>
        <w:rPr>
          <w:b/>
          <w:bCs/>
          <w:lang w:val="el" w:eastAsia="el"/>
        </w:rPr>
        <w:t>β)</w:t>
      </w:r>
      <w:r>
        <w:rPr>
          <w:b/>
          <w:bCs/>
          <w:lang w:val="en" w:eastAsia="en"/>
        </w:rPr>
        <w:tab/>
      </w:r>
      <w:r>
        <w:rPr>
          <w:b/>
          <w:bCs/>
          <w:lang w:val="el" w:eastAsia="el"/>
        </w:rPr>
        <w:t>Επιχειρήσεις μη υποκείμενες σε ΦΠΑ, απαλλασσόμενες και ειδικών καθεστώτων ΦΠΑ, συμπληρώνουν</w:t>
      </w:r>
    </w:p>
    <w:p>
      <w:pPr>
        <w:pStyle w:val="StructureList1"/>
        <w:spacing w:before="120" w:after="0"/>
        <w:rPr>
          <w:lang w:val="el" w:eastAsia="el"/>
        </w:rPr>
      </w:pPr>
      <w:r>
        <w:rPr>
          <w:b/>
          <w:bCs/>
          <w:lang w:val="el" w:eastAsia="el"/>
        </w:rPr>
        <w:t>αα)</w:t>
      </w:r>
      <w:r>
        <w:rPr>
          <w:b/>
          <w:bCs/>
          <w:lang w:val="en" w:eastAsia="en"/>
        </w:rPr>
        <w:tab/>
      </w:r>
      <w:r>
        <w:rPr>
          <w:b/>
          <w:bCs/>
          <w:lang w:val="el" w:eastAsia="el"/>
        </w:rPr>
        <w:t>τα ακαθάριστα έσοδα διακριτά για κάθε μήνα,</w:t>
      </w:r>
    </w:p>
    <w:p>
      <w:pPr>
        <w:pStyle w:val="StructureList1"/>
        <w:spacing w:before="120" w:after="0"/>
        <w:rPr>
          <w:lang w:val="el" w:eastAsia="el"/>
        </w:rPr>
      </w:pPr>
      <w:r>
        <w:rPr>
          <w:b/>
          <w:bCs/>
          <w:lang w:val="el" w:eastAsia="el"/>
        </w:rPr>
        <w:t>ββ)</w:t>
      </w:r>
      <w:r>
        <w:rPr>
          <w:b/>
          <w:bCs/>
          <w:lang w:val="en" w:eastAsia="en"/>
        </w:rPr>
        <w:tab/>
      </w:r>
      <w:r>
        <w:rPr>
          <w:b/>
          <w:bCs/>
          <w:lang w:val="el" w:eastAsia="el"/>
        </w:rPr>
        <w:t>το σύνολο των ακαθαρίστων εσόδων (κωδ. 047 του εντύπου Ε3) του φορολογικού έτους 2019,</w:t>
      </w:r>
    </w:p>
    <w:p>
      <w:pPr>
        <w:pStyle w:val="StructureList1"/>
        <w:spacing w:before="120" w:after="0"/>
        <w:rPr>
          <w:lang w:val="el" w:eastAsia="el"/>
        </w:rPr>
      </w:pPr>
      <w:r>
        <w:rPr>
          <w:b/>
          <w:bCs/>
          <w:lang w:val="el" w:eastAsia="el"/>
        </w:rPr>
        <w:t>γγ)</w:t>
      </w:r>
      <w:r>
        <w:rPr>
          <w:b/>
          <w:bCs/>
          <w:lang w:val="en" w:eastAsia="en"/>
        </w:rPr>
        <w:tab/>
      </w:r>
      <w:r>
        <w:rPr>
          <w:b/>
          <w:bCs/>
          <w:lang w:val="el" w:eastAsia="el"/>
        </w:rPr>
        <w:t>το σύνολο των εξόδων του φορολογικού έτους 2019.</w:t>
      </w:r>
    </w:p>
    <w:p>
      <w:pPr>
        <w:spacing w:before="240" w:after="240"/>
        <w:rPr>
          <w:lang w:val="el" w:eastAsia="el"/>
        </w:rPr>
      </w:pPr>
      <w:r>
        <w:rPr>
          <w:b/>
          <w:bCs/>
          <w:lang w:val="el" w:eastAsia="el"/>
        </w:rPr>
        <w:t>Το σύνολο των εξόδων προσδιορίζεται από τον κωδικό 580 του εντύπου Ε3, μειούμενο κατά τον κωδικό 581 (παροχές σε εργαζόμενους) και κατά τον κωδικό 585 (διάφορα λειτουργικά έξοδα) στο μέρος που αφορά σε δαπάνες ενοικίου της επιχείρησης.</w:t>
      </w:r>
    </w:p>
    <w:p>
      <w:pPr>
        <w:spacing w:before="240" w:after="240"/>
        <w:rPr>
          <w:lang w:val="el" w:eastAsia="el"/>
        </w:rPr>
      </w:pPr>
      <w:r>
        <w:rPr>
          <w:b/>
          <w:bCs/>
          <w:lang w:val="el" w:eastAsia="el"/>
        </w:rPr>
        <w:t>Επιπροσθέτως, προσυμπληρώνονται τα στοιχεία τα οποία διαθέτει η ΑΑΔΕ βάσει των δηλώσεων (ΦΠΑ ή Εισοδήματος) των ενδιαφερόμενων επιχειρήσεων.</w:t>
      </w:r>
    </w:p>
    <w:p>
      <w:pPr>
        <w:spacing w:before="240" w:after="240"/>
        <w:rPr>
          <w:lang w:val="el" w:eastAsia="el"/>
        </w:rPr>
      </w:pPr>
      <w:r>
        <w:rPr>
          <w:b/>
          <w:bCs/>
          <w:lang w:val="el" w:eastAsia="el"/>
        </w:rPr>
        <w:t>Τα ως άνω υποβαλλόμενα στοιχεία δεν δύνανται να τροποποιούνται από την επιχείρηση μετά την οριστικοποίησή τους, με εξαίρεση τα στοιχεία των μηνών Νοεμβρίου 2020 και Δεκεμβρίου 2020 που δύναται να τροποποιούνται από τη δημοσίευση του παρόντος μέχρι και τη λήξη της προθεσμίας υποβολής εκδήλωσης ενδιαφέροντος της παρ. 7.</w:t>
      </w:r>
    </w:p>
    <w:p>
      <w:pPr>
        <w:spacing w:before="240" w:after="240"/>
        <w:rPr>
          <w:lang w:val="el" w:eastAsia="el"/>
        </w:rPr>
      </w:pPr>
      <w:r>
        <w:rPr>
          <w:b/>
          <w:bCs/>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αυτής ή αποστέλλονται σε αυτή από άλλους δημόσιους και ιδιωτικούς φορείς. Ενδεικτικά, αυτά μπορεί να είναι, συγκριτικά στοιχεία εσόδων και δαπανών προηγούμενων περιόδων, όπως προκύπτουν από τις δηλώσεις των επιχειρήσεων.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πλατφόρμα προσφέρεται ως εφαρμογή του Ο.Π.Σ. TAXISnet της ΑΑΔΕ και η είσοδος σε αυτήν διενεργείται με τη χρήση των σχετικών διαπιστευτηρίων.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Με την είσοδο στην εφαρμογή και την υποβολή της εκδήλωσης ενδιαφέροντος,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και υπολογισμός του ύψους ενίσχυσης.</w:t>
      </w:r>
    </w:p>
    <w:p>
      <w:pPr>
        <w:spacing w:before="240" w:after="240"/>
        <w:rPr>
          <w:lang w:val="el" w:eastAsia="el"/>
        </w:rPr>
      </w:pPr>
      <w:r>
        <w:rPr>
          <w:b/>
          <w:bCs/>
          <w:lang w:val="el" w:eastAsia="el"/>
        </w:rPr>
        <w:t>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εκδήλωση ενδιαφέροντος και τα ως άνω συνοδευτικά στοιχεία υποβάλλονται στην πλατφόρμα έως την 19η Ιανουαρίου 2021.</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Η υποβολή αίτησης εκδήλωσης ενδιαφέροντος κατά τα ανωτέρω δεν δημιουργεί οιοδήποτε δικαίωμα ή αξίωση στις αιτούσες επιχειρήσεις.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Οι προϋποθέσεις υπαγωγής στο μέτρο της Επιστρεπτέας Προκαταβολής, η διαδικασία αίτησης και χορήγησης της ενίσχυσης, ο τρόπος υπολογισμού του ύψους της ενίσχυσης οι προϋποθέσεις και η διαδικασία επιστροφής της εν όλω ή εν μέρει, καθώς και κάθε άλλη σχετική λεπτομέρεια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4 Ιανουαρίου 2021</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Ανάπτυξης και Επενδύσεων</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ΑΠ ΓΔΟΥ 4/14.1.2021 15.01.2021</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ΑΠ ΓΔΟΥ 4/14.1.2021 15.01.2021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