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u w:val="single"/>
          <w:lang w:val="el" w:eastAsia="el"/>
        </w:rPr>
        <w:t>Θέμα</w:t>
      </w:r>
      <w:r>
        <w:rPr>
          <w:b/>
          <w:bCs/>
          <w:lang w:val="el" w:eastAsia="el"/>
        </w:rPr>
        <w:t>: «Καθορισμός της Μέσης Σταθμισμένης Τιμής (Μ.Σ.Τ.) λιανικής πώλησης των προϊόντων λεπτοκομμένου καπνού που προορίζονται για την κατασκευή χειροποίητων (στριφτών) τσιγάρων και των άλλων καπνών που προορίζονται για κάπνισμα για τον προσδιορισμό της φορολογητέας αξίας επιβολής του Φ.Π.Α.»</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19 του ν.4758/2020 (Α΄242), με τις οποίες προστέθηκε άρθρο 98Α μετά το άρθρο 98 του ν.2960/2001(Α΄265) "Εθνικός Τελωνειακός Κώδικας", για την έκδοση απόφασης Διοικητή Α.Α.Δ.Ε καθορισμού της Μέσης Σταθμισμένης Τιμής λιανικής πώλησης των προϊόντων λεπτοκομμένου καπνού και άλλων καπνών για κάπνισμα για τον προσδιορισμό της φορολογητέας αξίας υπολογισμού του αναλογούντος Φ.Π.Α. για συγκεκριμένες περιπτώσεις.</w:t>
      </w:r>
    </w:p>
    <w:p>
      <w:pPr>
        <w:pStyle w:val="PreambelText"/>
        <w:spacing w:before="240" w:after="240"/>
        <w:rPr>
          <w:lang w:val="el" w:eastAsia="el"/>
        </w:rPr>
      </w:pPr>
      <w:r>
        <w:rPr>
          <w:lang w:val="el" w:eastAsia="el"/>
        </w:rPr>
        <w:t>2. Τις διατάξεις των άρθρων 94 και 95 του ν.2960/2001(Α΄265)"Εθνικός Τελωνειακός Κώδικας".</w:t>
      </w:r>
    </w:p>
    <w:p>
      <w:pPr>
        <w:pStyle w:val="PreambelText"/>
        <w:spacing w:before="240" w:after="240"/>
        <w:rPr>
          <w:lang w:val="el" w:eastAsia="el"/>
        </w:rPr>
      </w:pPr>
      <w:r>
        <w:rPr>
          <w:lang w:val="el" w:eastAsia="el"/>
        </w:rPr>
        <w:t>3. Τις διατάξεις των άρθρων 2,3,4,5,10,11,16,17,18,19,20,21 του ν.2859/2000 (Α΄248) «Κύρωση Κώδικα Φ.Π.Α.».</w:t>
      </w:r>
    </w:p>
    <w:p>
      <w:pPr>
        <w:pStyle w:val="PreambelText"/>
        <w:spacing w:before="240" w:after="240"/>
        <w:rPr>
          <w:lang w:val="el" w:eastAsia="el"/>
        </w:rPr>
      </w:pPr>
      <w:r>
        <w:rPr>
          <w:lang w:val="el" w:eastAsia="el"/>
        </w:rPr>
        <w:t>4.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του άρθρου 41 του ν. 4389/2016 (ΦΕΚ Α΄ 94).</w:t>
      </w:r>
    </w:p>
    <w:p>
      <w:pPr>
        <w:pStyle w:val="PreambelText"/>
        <w:spacing w:before="240" w:after="240"/>
        <w:rPr>
          <w:lang w:val="el" w:eastAsia="el"/>
        </w:rPr>
      </w:pPr>
      <w:r>
        <w:rPr>
          <w:lang w:val="el" w:eastAsia="el"/>
        </w:rPr>
        <w:t>5. Την αριθμ.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(ΦΕΚ Α΄94), όπως ισχύουν και τις αποφάσεις αριθμ. 39/3/30.11.2017 (Υ.Ο.Δ.Δ. 689) του Συμβουλίου Διοίκησης της Α.Α.Δ.Ε. και αριθμ. 5294ΕΞ2020/17.01.2020 (Υ.Ο.Δ.Δ. 27) του Υπουργού Οικονομικών με θέμα «Ανανέωση της θητείας του Διοικητή της Ανεξάρτητης Αρχής Δημοσίων Εσόδων», όπως δημοσιεύθηκε στο Φ.Ε.Κ. 27/Υ.Ο.Δ.Δ./17.01.2020.</w:t>
      </w:r>
    </w:p>
    <w:p>
      <w:pPr>
        <w:pStyle w:val="PreambelText"/>
        <w:spacing w:before="240" w:after="240"/>
        <w:rPr>
          <w:lang w:val="el" w:eastAsia="el"/>
        </w:rPr>
      </w:pPr>
      <w:r>
        <w:rPr>
          <w:lang w:val="el" w:eastAsia="el"/>
        </w:rPr>
        <w:t>6. Τις διατάξεις των άρθρων του Κεφαλαίου Α΄ του ν. 4389/2016 (ΦΕΚ Α΄94) «Επείγουσες διατάξεις για την εφαρμογή της συμφωνίας δημοσιονομικών στόχων και διαρθρωτικών μεταρρυθμίσεων και άλλες διατάξεις», όπως ισχύουν.</w:t>
      </w:r>
    </w:p>
    <w:p>
      <w:pPr>
        <w:pStyle w:val="PreambelText"/>
        <w:spacing w:before="240" w:after="240"/>
        <w:rPr>
          <w:lang w:val="el" w:eastAsia="el"/>
        </w:rPr>
      </w:pPr>
      <w:r>
        <w:rPr>
          <w:lang w:val="el" w:eastAsia="el"/>
        </w:rPr>
        <w:t>7. Τις διατάξεις της αριθμ. Δ ΟΡΓ.Α 1125859ΕΞ2020 (Β΄4738)Απόφασης του Διοικητή της Ανεξάρτητης Αρχής Δημοσίων Εσόδων «Οργανισμός της Ανεξάρτητης Αρχής Δημοσίων Εσόδων (Α.Α.Δ.Ε.)», όπως τροποποιήθηκε και ισχύει.</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PreambelText"/>
        <w:spacing w:before="240" w:after="240"/>
        <w:rPr>
          <w:lang w:val="el" w:eastAsia="el"/>
        </w:rPr>
      </w:pPr>
      <w:r>
        <w:rPr>
          <w:lang w:val="el" w:eastAsia="el"/>
        </w:rPr>
        <w:t>9. Την ανάγκη καθορισμού της Μέσης Σταθμισμένης Τιμής (Μ.Σ.Τ.) λιανικής πώλησης των προϊόντων λεπτοκομμένου καπνού και άλλων καπνών για κάπνισμα, όπως αυτά ορίζονται στα άρθρα 94 και 95 του ν.2960/2001, με βάση την οποία θα υπολογίζεται ο αναλογών Φ.Π.Α. για το έτος 2021 στις περιπτώσεις λαθρεμπορίας, εισαγωγής από τρίτες χώρες από ιδιώτες, παραγωγής κατόπιν ειδικής παραγγελίας χωρίς να προορίζονται για εμπορία, παραλαβής με ταχυδρομικά δέματα, δωρεάν διάθεσης για σκοπούς έρευνας αγοράς.</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Με την παρούσα απόφαση καθορίζεται η Μέση Σταθμισμένη Τιμή (Μ.Σ.Τ.) λιανικής πώλησης των προϊόντων λεπτοκομμένου καπνού και άλλων καπνών για κάπνισμα, όπως αυτά ορίζονται στα άρθρα 94 και 95 του ν.2960/2001, με βάση την οποία θα υπολογίζεται ο αναλογών Φ.Π.Α. για το έτος 2021 στις περιπτώσεις λαθρεμπορίας, εισαγωγής από τρίτες χώρες από ιδιώτες, παραγωγής κατόπιν ειδικής παραγγελίας χωρίς να προορίζονται για εμπορία, παραλαβής με ταχυδρομικά δέματα, δωρεάν διάθεσης για σκοπούς έρευνας αγοράς, σύμφωνα με τους ειδικότερους όρους της παρ. 2 του άρθρου 2.</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Ορισμός Μέσης Σταθμισμένης Τιμής</w:t>
      </w:r>
    </w:p>
    <w:p>
      <w:pPr>
        <w:pStyle w:val="MainText"/>
        <w:spacing w:before="120" w:after="0"/>
        <w:rPr>
          <w:lang w:val="el" w:eastAsia="el"/>
        </w:rPr>
      </w:pPr>
      <w:r>
        <w:rPr>
          <w:b/>
          <w:bCs/>
          <w:lang w:val="el" w:eastAsia="el"/>
        </w:rPr>
        <w:t>1.</w:t>
      </w:r>
      <w:r>
        <w:rPr>
          <w:lang w:val="el" w:eastAsia="el"/>
        </w:rPr>
        <w:t xml:space="preserve"> Ορίζουμε, ως Μέση Σταθμισμένη Τιμή (Μ.Σ.Τ.) λιανικής πώλησης για τον υπολογισμό του Φ.Π.Α. για το έτος 2021:</w:t>
      </w:r>
    </w:p>
    <w:p>
      <w:pPr>
        <w:pStyle w:val="StructureList1"/>
        <w:spacing w:before="120" w:after="0"/>
        <w:rPr>
          <w:lang w:val="el" w:eastAsia="el"/>
        </w:rPr>
      </w:pPr>
      <w:r>
        <w:rPr>
          <w:lang w:val="el" w:eastAsia="el"/>
        </w:rPr>
        <w:t>α)</w:t>
      </w:r>
      <w:r>
        <w:rPr>
          <w:lang w:val="en" w:eastAsia="en"/>
        </w:rPr>
        <w:tab/>
      </w:r>
      <w:r>
        <w:rPr>
          <w:lang w:val="el" w:eastAsia="el"/>
        </w:rPr>
        <w:t>253,29 ευρώ (διακόσια πενήντα τρία και είκοσι εννέα ευρώ) ανά χιλιόγραμμο καθαρού βάρους για τα προϊόντα λεπτοκομμένου καπνού για την κατασκευή χειροποίητων (στριφτών) τσιγάρων και</w:t>
      </w:r>
    </w:p>
    <w:p>
      <w:pPr>
        <w:pStyle w:val="StructureList1"/>
        <w:spacing w:before="120" w:after="0"/>
        <w:rPr>
          <w:lang w:val="el" w:eastAsia="el"/>
        </w:rPr>
      </w:pPr>
      <w:r>
        <w:rPr>
          <w:lang w:val="el" w:eastAsia="el"/>
        </w:rPr>
        <w:t>β)</w:t>
      </w:r>
      <w:r>
        <w:rPr>
          <w:lang w:val="en" w:eastAsia="en"/>
        </w:rPr>
        <w:tab/>
      </w:r>
      <w:r>
        <w:rPr>
          <w:lang w:val="el" w:eastAsia="el"/>
        </w:rPr>
        <w:t>300,92 ευρώ (τριακόσια και ενενήντα δύο ευρώ) ανά χιλιόγραμμο καθαρού βάρους για τα προϊόντα των άλλων καπνών που προορίζονται για κάπνισμα, όπως αυτά ορίζονται στα άρθρα 94 και 95 του ν.2960/2001.</w:t>
      </w:r>
    </w:p>
    <w:p>
      <w:pPr>
        <w:pStyle w:val="MainText"/>
        <w:spacing w:before="120" w:after="0"/>
        <w:rPr>
          <w:lang w:val="el" w:eastAsia="el"/>
        </w:rPr>
      </w:pPr>
      <w:r>
        <w:rPr>
          <w:b/>
          <w:bCs/>
          <w:lang w:val="el" w:eastAsia="el"/>
        </w:rPr>
        <w:t>2.</w:t>
      </w:r>
      <w:r>
        <w:rPr>
          <w:lang w:val="el" w:eastAsia="el"/>
        </w:rPr>
        <w:t xml:space="preserve"> Η Μ.Σ.Τ. λιανικής πώλησης της προηγούμενης παραγράφου εφαρμόζεται στις περιπτώσεις παράδοσης, ενδοκοινοτικής απόκτησης ή εισαγωγής από τρίτες χώρες των προϊόντων λεπτοκομμένου καπνού και άλλων καπνών για κάπνισμα τα οποία:</w:t>
      </w:r>
    </w:p>
    <w:p>
      <w:pPr>
        <w:pStyle w:val="StructureList1"/>
        <w:spacing w:before="120" w:after="0"/>
        <w:rPr>
          <w:lang w:val="el" w:eastAsia="el"/>
        </w:rPr>
      </w:pPr>
      <w:r>
        <w:rPr>
          <w:lang w:val="el" w:eastAsia="el"/>
        </w:rPr>
        <w:t>α)</w:t>
      </w:r>
      <w:r>
        <w:rPr>
          <w:lang w:val="en" w:eastAsia="en"/>
        </w:rPr>
        <w:tab/>
      </w:r>
      <w:r>
        <w:rPr>
          <w:lang w:val="el" w:eastAsia="el"/>
        </w:rPr>
        <w:t>αποτελούν αντικείμενο λαθρεμπορίας ή β)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 σύμφωνα με την παράγραφο 1 του άρθρου 98 του ν.2960/2001 και η οποία δεν μπορεί να είναι μεγαλύτερη των πεντακοσίων (500) γραμμαρίων μικτού βάρους ή γ) παραλαμβάνονται στο εσωτερικό της χώρας με ταχυδρομικά δέματα, σε ποσότητα μεγαλύτερη από εκείνη που επιτρέπεται ατελώς, εφόσον προβλέπεται από την παράγραφο 1 του άρθρου 98 του ιδίου νόμου και όχι πάνω από πεντακόσια (500) γραμμάρια μικτού βάρους και προορίζονται αποκλειστικά για ατομική χρήση ή δ) παράγονται κατόπιν ειδικής παραγγελίας και δεν προορίζονται για εμπορία ή ε) διατίθενται δωρεάν για σκοπούς έρευνας αγοράς.</w:t>
      </w:r>
    </w:p>
    <w:p>
      <w:pPr>
        <w:pStyle w:val="MainText"/>
        <w:spacing w:before="120" w:after="0"/>
        <w:rPr>
          <w:lang w:val="el" w:eastAsia="el"/>
        </w:rPr>
      </w:pPr>
      <w:r>
        <w:rPr>
          <w:b/>
          <w:bCs/>
          <w:lang w:val="el" w:eastAsia="el"/>
        </w:rPr>
        <w:t>3.</w:t>
      </w:r>
      <w:r>
        <w:rPr>
          <w:lang w:val="el" w:eastAsia="el"/>
        </w:rPr>
        <w:t xml:space="preserve"> Η Μ.Σ.Τ. λιανικής πώλησης εφαρμόζεται έως και την 31 Δεκεμβρίου 2021.</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Η παρούσα απόφαση ισχύει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απόφαση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w:t>
      </w:r>
    </w:p>
    <w:p>
      <w:pPr>
        <w:spacing w:before="240" w:after="240"/>
        <w:rPr>
          <w:lang w:val="el" w:eastAsia="el"/>
        </w:rPr>
      </w:pPr>
      <w:r>
        <w:rPr>
          <w:lang w:val="el" w:eastAsia="el"/>
        </w:rPr>
        <w:t>Δημοσίων Εσόδων κ. Γ.Πιτσιλή</w:t>
      </w:r>
    </w:p>
    <w:p>
      <w:pPr>
        <w:pStyle w:val="MainText"/>
        <w:spacing w:before="120" w:after="0"/>
        <w:rPr>
          <w:lang w:val="el" w:eastAsia="el"/>
        </w:rPr>
      </w:pPr>
      <w:r>
        <w:rPr>
          <w:b/>
          <w:bCs/>
          <w:lang w:val="el" w:eastAsia="el"/>
        </w:rPr>
        <w:t>2.</w:t>
      </w:r>
      <w:r>
        <w:rPr>
          <w:lang w:val="el" w:eastAsia="el"/>
        </w:rPr>
        <w:t xml:space="preserve"> Γραφείο Γενικού Διευθυντή</w:t>
      </w:r>
    </w:p>
    <w:p>
      <w:pPr>
        <w:spacing w:before="240" w:after="240"/>
        <w:rPr>
          <w:lang w:val="el" w:eastAsia="el"/>
        </w:rPr>
      </w:pPr>
      <w:r>
        <w:rPr>
          <w:lang w:val="el" w:eastAsia="el"/>
        </w:rPr>
        <w:t>Τελωνείων &amp; Ε.Φ.Κ. κ.Κ.Μουρτίδη</w:t>
      </w:r>
    </w:p>
    <w:p>
      <w:pPr>
        <w:pStyle w:val="MainText"/>
        <w:spacing w:before="120" w:after="0"/>
        <w:rPr>
          <w:lang w:val="el" w:eastAsia="el"/>
        </w:rPr>
      </w:pPr>
      <w:r>
        <w:rPr>
          <w:b/>
          <w:bCs/>
          <w:lang w:val="el" w:eastAsia="el"/>
        </w:rPr>
        <w:t>3.</w:t>
      </w:r>
      <w:r>
        <w:rPr>
          <w:lang w:val="el" w:eastAsia="el"/>
        </w:rPr>
        <w:t xml:space="preserve"> Δ/νση Ε.Φ.Κ. &amp; Φ.Π.Α.-Τμήμα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