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4646 ΕΞ 2021</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τις πλημμύρες της 17ης έως και 20ης Σεπτεμβρίου 2020 σε περιοχές της Δ.Ε. Ν. Αγχιάλου του Δήμου Βόλου και του Δήμου Αλμυρού της Περιφερειακής Ενότητας Μαγνησίας της Περιφέρειας Θεσσαλίας.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(A’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(A’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(A’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 και τον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(A’ 25).</w:t>
      </w:r>
    </w:p>
    <w:p>
      <w:pPr>
        <w:pStyle w:val="PreambelText"/>
        <w:spacing w:before="240" w:after="240"/>
        <w:rPr>
          <w:lang w:val="el" w:eastAsia="el"/>
        </w:rPr>
      </w:pPr>
      <w:r>
        <w:rPr>
          <w:lang w:val="el" w:eastAsia="el"/>
        </w:rPr>
        <w:t>7. Το π.δ. 62/2020 «Διορισμός Αναπληρωτών Υπουργών και Υφυπουργών» (Α’155).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 121) και τις διατάξεις της υπό στοιχεία Υ2/9- 7-2019 απόφασης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Το π.δ. 81/2019 (Α’119)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(A’ 145).</w:t>
      </w:r>
    </w:p>
    <w:p>
      <w:pPr>
        <w:pStyle w:val="PreambelText"/>
        <w:spacing w:before="240" w:after="240"/>
        <w:rPr>
          <w:lang w:val="el" w:eastAsia="el"/>
        </w:rPr>
      </w:pPr>
      <w:r>
        <w:rPr>
          <w:lang w:val="el" w:eastAsia="el"/>
        </w:rPr>
        <w:t>11. Το π.δ. 142/2017 «Οργανισμός του Υπουργείου Οικονομικών» (A’181),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(A’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(A’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(Α’114).</w:t>
      </w:r>
    </w:p>
    <w:p>
      <w:pPr>
        <w:pStyle w:val="PreambelText"/>
        <w:spacing w:before="240" w:after="240"/>
        <w:rPr>
          <w:lang w:val="el" w:eastAsia="el"/>
        </w:rPr>
      </w:pPr>
      <w:r>
        <w:rPr>
          <w:lang w:val="el" w:eastAsia="el"/>
        </w:rPr>
        <w:t>15. Τι διατάξεις του άρθρου 90 του άρθρου πρώτου του π.δ. 63/2005 «Κωδικοποίηση της νομοθεσίας για την Κυβέρνηση και τα Κυβερνητικά όργανα» (Α’98) σε συνδυασμό με την παρ. 22 του άρθρου 119 του ν. 4622/2019 (Α’ 133).</w:t>
      </w:r>
    </w:p>
    <w:p>
      <w:pPr>
        <w:pStyle w:val="PreambelText"/>
        <w:spacing w:before="240" w:after="240"/>
        <w:rPr>
          <w:lang w:val="el" w:eastAsia="el"/>
        </w:rPr>
      </w:pPr>
      <w:r>
        <w:rPr>
          <w:lang w:val="el" w:eastAsia="el"/>
        </w:rPr>
        <w:t>16. Την υπ’αρ.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(Β’3375).</w:t>
      </w:r>
    </w:p>
    <w:p>
      <w:pPr>
        <w:pStyle w:val="PreambelText"/>
        <w:spacing w:before="240" w:after="240"/>
        <w:rPr>
          <w:lang w:val="el" w:eastAsia="el"/>
        </w:rPr>
      </w:pPr>
      <w:r>
        <w:rPr>
          <w:lang w:val="el" w:eastAsia="el"/>
        </w:rPr>
        <w:t>17. Την υπ’αρ. 338/18-7-2019 απόφαση του Πρωθυπουργού και του Υπουργού Οικονομικών «Ανάθεση αρμοδιοτήτων στον Υφυπουργό Οικονομικών, Γεώργιο Ζαββό» (Β’3051) .</w:t>
      </w:r>
    </w:p>
    <w:p>
      <w:pPr>
        <w:pStyle w:val="PreambelText"/>
        <w:spacing w:before="240" w:after="240"/>
        <w:rPr>
          <w:lang w:val="el" w:eastAsia="el"/>
        </w:rPr>
      </w:pPr>
      <w:r>
        <w:rPr>
          <w:lang w:val="el" w:eastAsia="el"/>
        </w:rPr>
        <w:t>18. Την υπό στοιχεία Δ.Α.Ε.Φ.Κ.-Κ.Ε./10330/Α325/ 7-10-2020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20ης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(B’ 4431, B’ 4615).</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ν.2459 (Α’ 17)» (Β’985).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(Β’1927), 107541/ΕΞ2020/25-9-2020 (Β’ 4181), 124695 ΕΞ2020/02-11-2020 (Β’ 4967) και 145125 ΕΞ 2020/ 18-12-2020 (Β’5636)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αριθ.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Τα υπ’ αρ. 353233/10-12-2020, 353241/10-12-2020, 376153/23-12-2020 και 376160/23-12-2020 έγγραφα της Δ/νσης Τεχνικών Έργων της Περιφερειακής Ενότητας Μαγνησίας και Σποράδων της Περιφέρειας Θεσσαλίας.</w:t>
      </w:r>
    </w:p>
    <w:p>
      <w:pPr>
        <w:pStyle w:val="PreambelText"/>
        <w:spacing w:before="240" w:after="240"/>
        <w:rPr>
          <w:lang w:val="el" w:eastAsia="el"/>
        </w:rPr>
      </w:pPr>
      <w:r>
        <w:rPr>
          <w:lang w:val="el" w:eastAsia="el"/>
        </w:rPr>
        <w:t>24. Το υπ’αρ. 4358 ΕΙ 2021/14-1-2021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υπ’ αρ. 123369 ΕΞ2020/29-10-2020 έγγραφο της Δ/νσης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26. Την ανάγκη υποστήριξης των επιχειρήσεων που είναι εγκατεστημένες και λειτουργούν σε περιοχές της Δ.Ε. Ν. Αγχιάλου του Δήμου Βόλου και του Δήμου Αλμυρού της Περιφερειακής Ενότητας Μαγνησίας της Περιφέρειας Θεσσαλίας και επλήγησαν από τις πλημμύρες της 17ης έως και 20ης Σεπτεμβρίου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27. Το γεγονός ότι, από τις διατάξεις της παρούσας προκαλείται δαπάνη, η οποία ανέρχεται σε 95.884 ευρώ περίπου σε βάρος του Προϋπολογισμού Δημοσίων Επενδύσεων του Υπουργείου Ανάπτυξης και Επενδύσεων (ΣΑΕ 027/0-ΚΩΔ. ΕΡΓΟΥ ΠΔΕ 2012ΣΕ02700000-Τομέας Βιομηχανίας-Βιοτεχνίας). Η ανωτέρω δαπάνη ύψους 95.884 ευρώ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τις πλημμύρες της 17ης έως και της 20ης Σεπτεμβρίου 2020 σε περιοχές της Δ.Ε. Ν. Αγχιάλου του Δήμου Βόλου και του Δήμου Αλμυρού της Περιφερειακής Ενότητας Μαγνησίας της Περιφέρειας Θεσσαλίας, οι οποίες έχουν οριοθετηθεί με την υπό στοιχεία Δ.Α.Ε.Φ.Κ.-Κ.Ε./10330/ Α325/7-10-2020 κοινή απόφαση των Υπουργών Οικονομικών - Ανάπτυξης και Επενδύσεων - Εσωτερικών - Υποδομών και Μεταφορών, σύμφωνα με τις διατάξεις του άρθρου 36 του ν. 2459/1997, όπως ισχύει και του Κανονισμού (ΕΕ) αριθ.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τα υπό στοιχεία 23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 .</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ν.2459/1997. Σε περίπτωση που διαπιστωθεί από τη Δ/νση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Ιανουαρίου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ΓΕΩΡΓΙΟΣ ΖΑΒΒΟΣ ΣΠΥΡΙΔΩΝ - ΑΔΩΝΙΣ</w:t>
      </w:r>
    </w:p>
    <w:p>
      <w:pPr>
        <w:spacing w:before="240" w:after="240"/>
        <w:rPr>
          <w:lang w:val="el" w:eastAsia="el"/>
        </w:rPr>
      </w:pPr>
      <w:r>
        <w:rPr>
          <w:b/>
          <w:bCs/>
          <w:lang w:val="el" w:eastAsia="el"/>
        </w:rPr>
        <w:t>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 Υποδομών και Μεταφορών</w:t>
      </w:r>
    </w:p>
    <w:p>
      <w:pPr>
        <w:spacing w:before="240" w:after="240"/>
        <w:rPr>
          <w:lang w:val="el" w:eastAsia="el"/>
        </w:rPr>
      </w:pPr>
      <w:r>
        <w:rPr>
          <w:b/>
          <w:bCs/>
          <w:lang w:val="el" w:eastAsia="el"/>
        </w:rPr>
        <w:t>ΙΩΑΝΝΗΣ ΤΣΑΚΙΡΗΣ ΚΩΝΣΤΑΝΤΙΝΟΣ</w:t>
      </w:r>
    </w:p>
    <w:p>
      <w:pPr>
        <w:spacing w:before="240" w:after="240"/>
        <w:rPr>
          <w:lang w:val="el" w:eastAsia="el"/>
        </w:rPr>
      </w:pPr>
      <w:r>
        <w:rPr>
          <w:b/>
          <w:bCs/>
          <w:lang w:val="el" w:eastAsia="el"/>
        </w:rPr>
        <w:t>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