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19/2021</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w:t>
      </w:r>
    </w:p>
    <w:p>
      <w:pPr>
        <w:pStyle w:val="PreambelText"/>
        <w:spacing w:before="240" w:after="240"/>
        <w:rPr>
          <w:lang w:val="el" w:eastAsia="el"/>
        </w:rPr>
      </w:pPr>
      <w:r>
        <w:rPr>
          <w:b/>
          <w:bCs/>
          <w:lang w:val="el" w:eastAsia="el"/>
        </w:rPr>
        <w:t>Αριθμ. ΓΔΟΥ 19/2021</w:t>
      </w:r>
    </w:p>
    <w:p>
      <w:pPr>
        <w:pStyle w:val="PreambelText"/>
        <w:spacing w:before="240" w:after="240"/>
        <w:rPr>
          <w:lang w:val="el" w:eastAsia="el"/>
        </w:rPr>
      </w:pPr>
      <w:r>
        <w:rPr>
          <w:lang w:val="el" w:eastAsia="el"/>
        </w:rPr>
        <w:t>(ΦΕΚ Β' 236/25-01-2021)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όπως τροποποιήθηκε με τον Κανονισμό (ΕΕ) υπ' αρ.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τροποποιήθηκε και ισχύει.</w:t>
      </w:r>
    </w:p>
    <w:p>
      <w:pPr>
        <w:pStyle w:val="PreambelText"/>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9. Τις διατάξεις του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11. Τις διατάξεις της υποπαρ. Β.10 της παρ. 4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12. Τις διατάξεις του ν.δ. 356/1974 Κ.Ε.Δ.Ε. (Α' 90), όπως ισχύουν.</w:t>
      </w:r>
    </w:p>
    <w:p>
      <w:pPr>
        <w:pStyle w:val="PreambelText"/>
        <w:spacing w:before="240" w:after="240"/>
        <w:rPr>
          <w:lang w:val="el" w:eastAsia="el"/>
        </w:rPr>
      </w:pPr>
      <w:r>
        <w:rPr>
          <w:lang w:val="el" w:eastAsia="el"/>
        </w:rPr>
        <w:t>13. Το π.δ. 62/2020 «Διορισμός Αναπληρωτών Υπουργών και Υφυπουργών» (Α' 155).</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16.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147/2017 «Οργανισμός του Υπουργείου Οικονομίας και Ανάπτυξης» (Α' 192).</w:t>
      </w:r>
    </w:p>
    <w:p>
      <w:pPr>
        <w:pStyle w:val="PreambelText"/>
        <w:spacing w:before="240" w:after="240"/>
        <w:rPr>
          <w:lang w:val="el" w:eastAsia="el"/>
        </w:rPr>
      </w:pPr>
      <w:r>
        <w:rPr>
          <w:lang w:val="el" w:eastAsia="el"/>
        </w:rPr>
        <w:t>19. Το π.δ. 80/2016 «Ανάληψη υποχρεώσεων από τους διατάκτες» (Α' 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 και την περ. 22 του άρθρου 119 του ν. 4622/2019.</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22.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Δ1α/Γ.Π.οικ.3060/15.1.2021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 και την υπό στοιχεία Δ1α/Γ.Π.οικ.4992/22.1.2021 κοινή απόφαση των ιδίων ως άνω υπουργών (Β'186).</w:t>
      </w:r>
    </w:p>
    <w:p>
      <w:pPr>
        <w:pStyle w:val="PreambelText"/>
        <w:spacing w:before="240" w:after="240"/>
        <w:rPr>
          <w:lang w:val="el" w:eastAsia="el"/>
        </w:rPr>
      </w:pPr>
      <w:r>
        <w:rPr>
          <w:lang w:val="el" w:eastAsia="el"/>
        </w:rPr>
        <w:t>27. Την υπό στοιχεία ΓΔΟΥ 1/4.1.2021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Σεπτέμβριο ως και Δεκέμβριο 2020» (Β' 7), όπως ισχύει.</w:t>
      </w:r>
    </w:p>
    <w:p>
      <w:pPr>
        <w:pStyle w:val="PreambelText"/>
        <w:spacing w:before="240" w:after="240"/>
        <w:rPr>
          <w:lang w:val="el" w:eastAsia="el"/>
        </w:rPr>
      </w:pPr>
      <w:r>
        <w:rPr>
          <w:lang w:val="el" w:eastAsia="el"/>
        </w:rPr>
        <w:t>28. Την από στοιχεία ΓΔΟΥ 281/14.11.2020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κορωνοιού COVID-19, κατά τους μήνες Σεπτέμβριο και Οκτώβριο 2020» (Β' 5047), όπως ισχύει.</w:t>
      </w:r>
    </w:p>
    <w:p>
      <w:pPr>
        <w:pStyle w:val="PreambelText"/>
        <w:spacing w:before="240" w:after="240"/>
        <w:rPr>
          <w:lang w:val="el" w:eastAsia="el"/>
        </w:rPr>
      </w:pPr>
      <w:r>
        <w:rPr>
          <w:lang w:val="el" w:eastAsia="el"/>
        </w:rPr>
        <w:t>29.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30. Την υπό στοιχεία 137675/ΕΥΘΥ1016/19.12.2018 απόφαση του Υφυπουργού Οικονομίας και Ανάπτυξης «Αντικατάσταση της 110427/ΕΥΘΥ/1020/20.10.2016 (Β' 3521) υπουργικής απόφασης με τίτλο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31.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υπ' αρ. 46274/ ΕΥΘΥ 482/27.4.2016, Β' 2573» (Β' 2857).</w:t>
      </w:r>
    </w:p>
    <w:p>
      <w:pPr>
        <w:pStyle w:val="PreambelText"/>
        <w:spacing w:before="240" w:after="240"/>
        <w:rPr>
          <w:lang w:val="el" w:eastAsia="el"/>
        </w:rPr>
      </w:pPr>
      <w:r>
        <w:rPr>
          <w:lang w:val="el" w:eastAsia="el"/>
        </w:rPr>
        <w:t>32. Την υπό στοιχεία 126829/EΥΘΥ1217/8.12.2015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33. Την υπ' αρ. 109/12-3-2019 πράξη του Διοικητή της Τράπεζας της Ελλάδος.</w:t>
      </w:r>
    </w:p>
    <w:p>
      <w:pPr>
        <w:pStyle w:val="PreambelText"/>
        <w:spacing w:before="240" w:after="240"/>
        <w:rPr>
          <w:lang w:val="el" w:eastAsia="el"/>
        </w:rPr>
      </w:pPr>
      <w:r>
        <w:rPr>
          <w:lang w:val="el" w:eastAsia="el"/>
        </w:rPr>
        <w:t>34.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35. Την υπό στοιχεία 2/3547/ΔΠΓΚ/25.1.2021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36. Την υπό στοιχεία ΓΔΟΥ 18/25.1.2021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37. Το γεγονός ότι από τις διατάξεις της παρούσας απόφασης προκαλείται δαπάνη ύψους ενός δισεκατομμυρίου πεντακοσίων εκατομμυρίων (1.500.000.000) ευρώ, για το τρέχον οικονομικό έτος και ειδικότερα τετρακοσίων εκατομμυρίων (400.000.000) ευρώ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ενός δισεκατομμυρίου εκατό εκατομμυρίων (1.100.000.000) ευρώ σε βάρος του Προϋπολογισμού Δημοσίων Επενδύσεων του Υπουργείου Οικονομικών και της ΣΑ051/2, καθώς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τους μήνες Σεπτέμβριο ως και Δεκέμβριο του 2020.</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μεμονωμένες ενισχύσεις στο πλαίσιο της παρούσας χορηγούνται είτε:</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b/>
          <w:bCs/>
          <w:lang w:val="el" w:eastAsia="el"/>
        </w:rPr>
        <w:t>β)</w:t>
      </w:r>
      <w:r>
        <w:rPr>
          <w:b/>
          <w:bCs/>
          <w:lang w:val="en" w:eastAsia="en"/>
        </w:rPr>
        <w:tab/>
      </w:r>
      <w:r>
        <w:rPr>
          <w:b/>
          <w:bCs/>
          <w:lang w:val="el" w:eastAsia="el"/>
        </w:rPr>
        <w:t>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Επιστρεπτέα προκαταβολή:</w:t>
      </w:r>
      <w:r>
        <w:rPr>
          <w:b/>
          <w:bCs/>
          <w:lang w:val="el" w:eastAsia="el"/>
        </w:rPr>
        <w:t xml:space="preserve">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Προβληματική επιχείρηση:</w:t>
      </w:r>
      <w:r>
        <w:rPr>
          <w:b/>
          <w:bCs/>
          <w:lang w:val="el" w:eastAsia="el"/>
        </w:rPr>
        <w:t xml:space="preserve">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Ενιαία επιχείρηση:</w:t>
      </w:r>
      <w:r>
        <w:rPr>
          <w:b/>
          <w:bCs/>
          <w:lang w:val="el" w:eastAsia="el"/>
        </w:rPr>
        <w:t xml:space="preserve">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b/>
          <w:bCs/>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Επιτόκιο αναφοράς: </w:t>
      </w:r>
      <w:r>
        <w:rPr>
          <w:b/>
          <w:bCs/>
          <w:lang w:val="el" w:eastAsia="el"/>
        </w:rPr>
        <w:t>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της τελευταίας υπό στοιχεία 2008/C 14/02 (C 14/6 της 19.1.2008), ήτοι -0,45, προσαυξημένο κατά 109 μονάδες βάσης.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Πρωτογενής παραγωγή γεωργικών προϊόντων: </w:t>
      </w:r>
      <w:r>
        <w:rPr>
          <w:b/>
          <w:bCs/>
          <w:lang w:val="el" w:eastAsia="el"/>
        </w:rPr>
        <w:t>η παραγωγή των προϊόντων που απαρμούνται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Τομείς αλιείας και υδατοκαλλιέργειας:</w:t>
      </w:r>
      <w:r>
        <w:rPr>
          <w:b/>
          <w:bCs/>
          <w:lang w:val="el" w:eastAsia="el"/>
        </w:rPr>
        <w:t xml:space="preserve"> οι τομείς που εμπίπτουν στον Κανονισμό (ΕΚ) υπ' αρ.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Μεταποίηση γεωργικών προϊόντων:</w:t>
      </w:r>
      <w:r>
        <w:rPr>
          <w:b/>
          <w:bCs/>
          <w:lang w:val="el" w:eastAsia="el"/>
        </w:rPr>
        <w:t xml:space="preserve">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Εμπορία γεωργικών προϊόντων: </w:t>
      </w:r>
      <w:r>
        <w:rPr>
          <w:b/>
          <w:bCs/>
          <w:lang w:val="el" w:eastAsia="el"/>
        </w:rPr>
        <w:t>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Μικρομεσαίες Επιχειρήσεις (ΜΜΕ): </w:t>
      </w:r>
      <w:r>
        <w:rPr>
          <w:b/>
          <w:bCs/>
          <w:lang w:val="el" w:eastAsia="el"/>
        </w:rPr>
        <w:t>οι επιχειρήσεις που πληρούν τα κριτήρια που ορίζονται στο παράρτημα I του Καν. 651/2014.</w:t>
      </w:r>
    </w:p>
    <w:p>
      <w:pPr>
        <w:spacing w:before="240" w:after="240"/>
        <w:rPr>
          <w:lang w:val="el" w:eastAsia="el"/>
        </w:rPr>
      </w:pPr>
      <w:r>
        <w:rPr>
          <w:b/>
          <w:bCs/>
          <w:lang w:val="el" w:eastAsia="el"/>
        </w:rPr>
        <w:t>Εξ' αυτών, σύμφωνα με τα οριζόμενα στο άρθρο 2 του ως άνω παραρτήματος: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Μεσαίες επιχειρήσεις: </w:t>
      </w:r>
      <w:r>
        <w:rPr>
          <w:b/>
          <w:bCs/>
          <w:lang w:val="el" w:eastAsia="el"/>
        </w:rPr>
        <w:t>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εκατομμύρια ευρώ και/ή το σύνολο του ετήσιου ισολογισμού δεν υπερβαίνει τα σαράντα τρία (43) εκατομμύρια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Μικρές επιχειρήσεις: </w:t>
      </w:r>
      <w:r>
        <w:rPr>
          <w:b/>
          <w:bCs/>
          <w:lang w:val="el" w:eastAsia="el"/>
        </w:rPr>
        <w:t>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εκατομμύρια ευρώ.</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Πολύ μικρές επιχειρήσεις: </w:t>
      </w:r>
      <w:r>
        <w:rPr>
          <w:b/>
          <w:bCs/>
          <w:lang w:val="el" w:eastAsia="el"/>
        </w:rPr>
        <w:t>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εκατομμύρια ευρώ.</w:t>
      </w:r>
    </w:p>
    <w:p>
      <w:pPr>
        <w:spacing w:before="240" w:after="240"/>
        <w:rPr>
          <w:lang w:val="el" w:eastAsia="el"/>
        </w:rPr>
      </w:pPr>
      <w:r>
        <w:rPr>
          <w:b/>
          <w:bCs/>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b/>
          <w:bCs/>
          <w:lang w:val="el" w:eastAsia="el"/>
        </w:rPr>
        <w:t xml:space="preserve">Οι επιχειρήσεις που δεν πληρούν τα κριτήρια που ορίζονται στο ως άνω παράρτημα Ι, </w:t>
      </w:r>
      <w:r>
        <w:rPr>
          <w:b/>
          <w:bCs/>
          <w:lang w:val="el" w:eastAsia="el"/>
        </w:rPr>
        <w:t>θεωρούνται μεγάλες.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Κύκλος εργασιών αναφοράς: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επιχειρήσεις που είναι υποκείμενες σε ΦΠΑ και τηρούν </w:t>
      </w:r>
      <w:r>
        <w:rPr>
          <w:b/>
          <w:bCs/>
          <w:lang w:val="el" w:eastAsia="el"/>
        </w:rPr>
        <w:t>απλογραφικά βιβλία: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η επιχείρηση έχει θετικό κύκλο εργασιών το τρίτο και το τέταρτο τρίμηνο του έτους 2019, ως κύκλος εργασιών αναφοράς λαμβάνεται το άθροισμα του κύκλου εργασιών του τρίτου τριμήνου πολλαπλασιαζόμενο με ένα τρίτο (1/3) και του τέταρτου τριμήνου,</w:t>
      </w:r>
    </w:p>
    <w:p>
      <w:pPr>
        <w:pStyle w:val="StructureList1"/>
        <w:spacing w:before="120" w:after="0"/>
        <w:rPr>
          <w:lang w:val="el" w:eastAsia="el"/>
        </w:rPr>
      </w:pPr>
      <w:r>
        <w:rPr>
          <w:b/>
          <w:bCs/>
          <w:lang w:val="el" w:eastAsia="el"/>
        </w:rPr>
        <w:t>ββ)</w:t>
      </w:r>
      <w:r>
        <w:rPr>
          <w:b/>
          <w:bCs/>
          <w:lang w:val="en" w:eastAsia="en"/>
        </w:rPr>
        <w:tab/>
      </w:r>
      <w:r>
        <w:rPr>
          <w:b/>
          <w:bCs/>
          <w:lang w:val="el" w:eastAsia="el"/>
        </w:rPr>
        <w:t>σε περίπτωση που η επιχείρηση δεν έχει θετικό κύκλο εργασιών το τρίτο τρίμηνο του έτους 2019 και έχει θετικό κύκλο εργασιών το τέταρτο τρίμηνο του έτους</w:t>
      </w:r>
    </w:p>
    <w:p>
      <w:pPr>
        <w:spacing w:before="240" w:after="240"/>
        <w:rPr>
          <w:lang w:val="el" w:eastAsia="el"/>
        </w:rPr>
      </w:pPr>
      <w:r>
        <w:rPr>
          <w:b/>
          <w:bCs/>
          <w:lang w:val="el" w:eastAsia="el"/>
        </w:rPr>
        <w:t>2019, ως κύκλος εργασιών αναφοράς λαμβάνεται το τέταρτο τρίμηνο του έτους 2019, πολλαπλασιαζόμενο με τέσσερα τρίτα (4/3).</w:t>
      </w:r>
    </w:p>
    <w:p>
      <w:pPr>
        <w:pStyle w:val="StructureList1"/>
        <w:spacing w:before="120" w:after="0"/>
        <w:rPr>
          <w:lang w:val="el" w:eastAsia="el"/>
        </w:rPr>
      </w:pPr>
      <w:r>
        <w:rPr>
          <w:b/>
          <w:bCs/>
          <w:lang w:val="el" w:eastAsia="el"/>
        </w:rPr>
        <w:t>γγ)</w:t>
      </w:r>
      <w:r>
        <w:rPr>
          <w:b/>
          <w:bCs/>
          <w:lang w:val="en" w:eastAsia="en"/>
        </w:rPr>
        <w:tab/>
      </w:r>
      <w:r>
        <w:rPr>
          <w:b/>
          <w:bCs/>
          <w:lang w:val="el" w:eastAsia="el"/>
        </w:rPr>
        <w:t>σε περίπτωση που η επιχείρηση δεν έχει θετικό κύκλο εργασιών το τέταρτο τρίμηνο του έτους 2019 και έχει θετικό κύκλο εργασιών το πρώτο τρίμηνο του έτους</w:t>
      </w:r>
    </w:p>
    <w:p>
      <w:pPr>
        <w:spacing w:before="240" w:after="240"/>
        <w:rPr>
          <w:lang w:val="el" w:eastAsia="el"/>
        </w:rPr>
      </w:pPr>
      <w:r>
        <w:rPr>
          <w:b/>
          <w:bCs/>
          <w:lang w:val="el" w:eastAsia="el"/>
        </w:rPr>
        <w:t>2020, ως κύκλος εργασιών αναφοράς λαμβάνεται ο κύκλος εργασιών του πρώτου τριμήνου του 2020 πολλαπλασιαζόμενος με τέσσερα τρίτα (4/3),</w:t>
      </w:r>
    </w:p>
    <w:p>
      <w:pPr>
        <w:pStyle w:val="StructureList1"/>
        <w:spacing w:before="120" w:after="0"/>
        <w:rPr>
          <w:lang w:val="el" w:eastAsia="el"/>
        </w:rPr>
      </w:pPr>
      <w:r>
        <w:rPr>
          <w:b/>
          <w:bCs/>
          <w:lang w:val="el" w:eastAsia="el"/>
        </w:rPr>
        <w:t>δδ)</w:t>
      </w:r>
      <w:r>
        <w:rPr>
          <w:b/>
          <w:bCs/>
          <w:lang w:val="en" w:eastAsia="en"/>
        </w:rPr>
        <w:tab/>
      </w:r>
      <w:r>
        <w:rPr>
          <w:b/>
          <w:bCs/>
          <w:lang w:val="el" w:eastAsia="el"/>
        </w:rPr>
        <w:t>σε περίπτωση που η επιχείρηση δεν έχει θετικό κύκλο εργασιών το τέταρτο τρίμηνο του έτους 2019, καθώς και το πρώτο τρίμηνο του έτους 2020 ως κύκλος εργασιών αναφοράς λαμβάνεται ο κύκλος εργασιών του τρίτου τριμήνου του 2020 πολλαπλασιαζόμενος με τέσσερα τρίτα (4/3),</w:t>
      </w:r>
    </w:p>
    <w:p>
      <w:pPr>
        <w:pStyle w:val="StructureList1"/>
        <w:spacing w:before="120" w:after="0"/>
        <w:rPr>
          <w:lang w:val="el" w:eastAsia="el"/>
        </w:rPr>
      </w:pPr>
      <w:r>
        <w:rPr>
          <w:b/>
          <w:bCs/>
          <w:lang w:val="el" w:eastAsia="el"/>
        </w:rPr>
        <w:t>εε)</w:t>
      </w:r>
      <w:r>
        <w:rPr>
          <w:b/>
          <w:bCs/>
          <w:lang w:val="en" w:eastAsia="en"/>
        </w:rPr>
        <w:tab/>
      </w:r>
      <w:r>
        <w:rPr>
          <w:b/>
          <w:bCs/>
          <w:lang w:val="el" w:eastAsia="el"/>
        </w:rPr>
        <w:t>σε διαφορετική περίπτωση, ο κύκλος εργασιών αναφοράς ισούται με μηδέν (0).</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επιχειρήσεις που είναι υποκείμενες σε ΦΠΑ και τηρούν </w:t>
      </w:r>
      <w:r>
        <w:rPr>
          <w:b/>
          <w:bCs/>
          <w:lang w:val="el" w:eastAsia="el"/>
        </w:rPr>
        <w:t>διπλογραφικά βιβλία: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η επιχείρηση έχει θετικό κύκλο εργασιών τους μήνες Σεπτέμβριο, Οκτώβριο, Νοέμβριο και Δεκέμβριο 2019, ως κύκλος εργασιών αναφοράς λαμβάνεται το άθροισμα του κύκλου εργασιών των μηνών Σεπτεμβρίου, Οκτωβρίου, Νοεμβρίου και Δεκεμβρίου του έτους 2019,</w:t>
      </w:r>
    </w:p>
    <w:p>
      <w:pPr>
        <w:pStyle w:val="StructureList1"/>
        <w:spacing w:before="120" w:after="0"/>
        <w:rPr>
          <w:lang w:val="el" w:eastAsia="el"/>
        </w:rPr>
      </w:pPr>
      <w:r>
        <w:rPr>
          <w:b/>
          <w:bCs/>
          <w:lang w:val="el" w:eastAsia="el"/>
        </w:rPr>
        <w:t>ββ)</w:t>
      </w:r>
      <w:r>
        <w:rPr>
          <w:b/>
          <w:bCs/>
          <w:lang w:val="en" w:eastAsia="en"/>
        </w:rPr>
        <w:tab/>
      </w:r>
      <w:r>
        <w:rPr>
          <w:b/>
          <w:bCs/>
          <w:lang w:val="el" w:eastAsia="el"/>
        </w:rPr>
        <w:t>σε περίπτωση που η επιχείρηση δεν έχει θετικό κύκλο εργασιών τον μήνα Σεπτέμβριο του 2019 και έχει θετικό κύκλο εργασιών τους μήνες Οκτώβριο, Νοέμβριο και Δεκέμβριο του 2019, ως κύκλος εργασιών αναφοράς λαμβάνεται το άθροισμα του κύκλου εργασιών των μηνών Οκτωβρίου, Νοεμβρίου και Δεκεμβρίου του έτους 2019, πολλαπλασιαζόμενο με τέσσερα τρίτα (4/3),</w:t>
      </w:r>
    </w:p>
    <w:p>
      <w:pPr>
        <w:pStyle w:val="StructureList1"/>
        <w:spacing w:before="120" w:after="0"/>
        <w:rPr>
          <w:lang w:val="el" w:eastAsia="el"/>
        </w:rPr>
      </w:pPr>
      <w:r>
        <w:rPr>
          <w:b/>
          <w:bCs/>
          <w:lang w:val="el" w:eastAsia="el"/>
        </w:rPr>
        <w:t>γγ)</w:t>
      </w:r>
      <w:r>
        <w:rPr>
          <w:b/>
          <w:bCs/>
          <w:lang w:val="en" w:eastAsia="en"/>
        </w:rPr>
        <w:tab/>
      </w:r>
      <w:r>
        <w:rPr>
          <w:b/>
          <w:bCs/>
          <w:lang w:val="el" w:eastAsia="el"/>
        </w:rPr>
        <w:t>σε περίπτωση που η επιχείρηση δεν έχει θετικό κύκλο εργασιών τον μήνα Σεπτέμβριο του 2019 και τον μήνα Οκτώβριο 2019 και έχει θετικό κύκλο εργασιών τους μήνες Νοέμβριο και Δεκέμβριο του 2019, ως κύκλος εργασιών αναφοράς λαμβάνεται το άθροισμα του κύκλου εργασιών των μηνών Νοεμβρίου και Δεκεμβρίου του έτους 2019, πολλαπλασιαζόμενο με δύο (2),</w:t>
      </w:r>
    </w:p>
    <w:p>
      <w:pPr>
        <w:pStyle w:val="StructureList1"/>
        <w:spacing w:before="120" w:after="0"/>
        <w:rPr>
          <w:lang w:val="el" w:eastAsia="el"/>
        </w:rPr>
      </w:pPr>
      <w:r>
        <w:rPr>
          <w:b/>
          <w:bCs/>
          <w:lang w:val="el" w:eastAsia="el"/>
        </w:rPr>
        <w:t>δδ)</w:t>
      </w:r>
      <w:r>
        <w:rPr>
          <w:b/>
          <w:bCs/>
          <w:lang w:val="en" w:eastAsia="en"/>
        </w:rPr>
        <w:tab/>
      </w:r>
      <w:r>
        <w:rPr>
          <w:b/>
          <w:bCs/>
          <w:lang w:val="el" w:eastAsia="el"/>
        </w:rPr>
        <w:t>σε περίπτωση που η επιχείρηση δεν έχει θετικό κύκλο εργασιών τον μήνα Σεπτέμβριο, τον μήνα Οκτώβριο και τον μήνα Νοέμβριο 2019 και έχει θετικό κύκλο εργασιών τον μήνα Δεκέμβριο του 2019, ως κύκλος εργασιών αναφοράς λαμβάνεται ο κύκλος εργασιών του μηνός Δεκεμβρίου, πολλαπλασιαζόμενος επί τέσσερα (4),</w:t>
      </w:r>
    </w:p>
    <w:p>
      <w:pPr>
        <w:pStyle w:val="StructureList1"/>
        <w:spacing w:before="120" w:after="0"/>
        <w:rPr>
          <w:lang w:val="el" w:eastAsia="el"/>
        </w:rPr>
      </w:pPr>
      <w:r>
        <w:rPr>
          <w:b/>
          <w:bCs/>
          <w:lang w:val="el" w:eastAsia="el"/>
        </w:rPr>
        <w:t>εε)</w:t>
      </w:r>
      <w:r>
        <w:rPr>
          <w:b/>
          <w:bCs/>
          <w:lang w:val="en" w:eastAsia="en"/>
        </w:rPr>
        <w:tab/>
      </w:r>
      <w:r>
        <w:rPr>
          <w:b/>
          <w:bCs/>
          <w:lang w:val="el" w:eastAsia="el"/>
        </w:rPr>
        <w:t>σε περίπτωση που η επιχείρηση δεν έχει θετικό κύκλο εργασιών τους μήνες Σεπτέμβριο, Οκτώβριο, Νοέμβριο και Δεκέμβριο 2019 και έχει θετικό κύκλο εργασιών τον μήνα Φεβρουάριο 2020, ως κύκλος εργασιών αναφοράς λαμβάνεται ο κύκλος εργασιών του μηνός Φεβρουαρίου 2020, πολλαπλασιαζόμενος επί τέσσερα (4),</w:t>
      </w:r>
    </w:p>
    <w:p>
      <w:pPr>
        <w:pStyle w:val="StructureList1"/>
        <w:spacing w:before="120" w:after="0"/>
        <w:rPr>
          <w:lang w:val="el" w:eastAsia="el"/>
        </w:rPr>
      </w:pPr>
      <w:r>
        <w:rPr>
          <w:b/>
          <w:bCs/>
          <w:lang w:val="el" w:eastAsia="el"/>
        </w:rPr>
        <w:t>στστ)</w:t>
      </w:r>
      <w:r>
        <w:rPr>
          <w:b/>
          <w:bCs/>
          <w:lang w:val="en" w:eastAsia="en"/>
        </w:rPr>
        <w:tab/>
      </w:r>
      <w:r>
        <w:rPr>
          <w:b/>
          <w:bCs/>
          <w:lang w:val="el" w:eastAsia="el"/>
        </w:rPr>
        <w:t>σε περίπτωση που ο κύκλος εργασιών των μηνών Σεπτεμβρίου, Οκτωβρίου, Νοεμβρίου και Δεκεμβρίου του έτους 2019 της επιχείρησης δεν είναι θετικός και ο κύκλος εργασιών του μηνός Φεβρουαρίου 2020 δεν είναι θετικός, ως κύκλος εργασιών αναφοράς λαμβάνεται το άθροισμα του κύκλου εργασιών Ιουλίου, Αυγούστου και Σεπτεμβρίου 2020, πολλαπλασιαζόμενο με τέσσερα τρίτα (4/3),</w:t>
      </w:r>
    </w:p>
    <w:p>
      <w:pPr>
        <w:pStyle w:val="StructureList1"/>
        <w:spacing w:before="120" w:after="0"/>
        <w:rPr>
          <w:lang w:val="el" w:eastAsia="el"/>
        </w:rPr>
      </w:pPr>
      <w:r>
        <w:rPr>
          <w:b/>
          <w:bCs/>
          <w:lang w:val="el" w:eastAsia="el"/>
        </w:rPr>
        <w:t>ζζ)</w:t>
      </w:r>
      <w:r>
        <w:rPr>
          <w:b/>
          <w:bCs/>
          <w:lang w:val="en" w:eastAsia="en"/>
        </w:rPr>
        <w:tab/>
      </w:r>
      <w:r>
        <w:rPr>
          <w:b/>
          <w:bCs/>
          <w:lang w:val="el" w:eastAsia="el"/>
        </w:rPr>
        <w:t>σε διαφορετική περίπτωση, ο κύκλος εργασιών αναφοράς ισούται με μηδέν (0).</w:t>
      </w:r>
    </w:p>
    <w:p>
      <w:pPr>
        <w:spacing w:before="240" w:after="240"/>
        <w:rPr>
          <w:lang w:val="el" w:eastAsia="el"/>
        </w:rPr>
      </w:pPr>
      <w:r>
        <w:rPr>
          <w:b/>
          <w:bCs/>
          <w:lang w:val="el" w:eastAsia="el"/>
        </w:rPr>
        <w:t>Σε περίπτωση που η επιχείρηση εντός του 2019 ή του 2020 και ειδικότερα κατά την περίοδο που αφορά ο ανωτέρω υπολογισμός,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Ακαθάριστα έσοδα αναφοράς:</w:t>
      </w:r>
    </w:p>
    <w:p>
      <w:pPr>
        <w:spacing w:before="240" w:after="240"/>
        <w:rPr>
          <w:lang w:val="el" w:eastAsia="el"/>
        </w:rPr>
      </w:pPr>
      <w:r>
        <w:rPr>
          <w:b/>
          <w:bCs/>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η επιχείρηση έχει θετικά ακαθάριστα έσοδα το έτος 2019 ως τα ακαθάριστα έσοδα του έτους 2019, διαιρεμένα με τρία (3),</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τέσσερα (4),</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η επιχείρηση δεν έχει θετικά ακαθάριστα έσοδα το έτος 2019, ούτε τον μήνα Φεβρουάριο 2020, ως ακαθάριστα έσοδα αναφοράς λαμβάνονται το άθροισμα των ακαθάριστων εσόδων Ιουλίου, Αυγούστου και Σεπτεμβρίου 2020, πολλαπλασιαζόμενο με τέσσερα τρίτα (4/3), όπως αυτά έχουν δηλωθεί στην ειδική πλατφόρμα «myBusinessSupport».</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στην αίτηση εκδήλωσης ενδιαφέροντος της υπό στοιχεία ΓΔΟΥ 1/4.1.2021 απόφασης των Υπουργών Οικονομικών και Ανάπτυξης και Επενδύσεων (Β' 7).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την προηγούμενη ημέρα από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προηγούμενη ημέρα από την έναρξη ισχύος της παρούσας απόφασης.</w:t>
      </w:r>
    </w:p>
    <w:p>
      <w:pPr>
        <w:spacing w:before="240" w:after="240"/>
        <w:rPr>
          <w:lang w:val="el" w:eastAsia="el"/>
        </w:rPr>
      </w:pPr>
      <w:r>
        <w:rPr>
          <w:b/>
          <w:bCs/>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Ιουλίου, Αυγούστου και Σεπτεμβρίου 2020, όπως έχουν υποβληθεί στην ηλεκτρονική πλατφόρμα «myBusinessSupport», διαφέρει από το ποσό της περιοδικής δήλωσης ΦΠΑ του τρίτου τριμήνου 2020, όπως έχει υποβληθεί μέχρι την προηγούμενη ημέρα από την έναρξη ισχύος της παρούσας, τότε για σκοπούς προδιορισμού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Ιουλίου, Αυγούστου και Σεπτεμβρίου 2020.</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b/>
          <w:bCs/>
          <w:lang w:val="el" w:eastAsia="el"/>
        </w:rPr>
        <w:t xml:space="preserve"> Δικαιούχοι - λήπτες της ενίσχυσης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Oι Δημοτικές Επιχειρήσεις Ύδρευσης και Αποχέτευσης (Δ.Ε.Υ.Α.) και οι Οργανισμοί Λιμένων.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αα) Επιχειρήσεις που απασχολούσαν περισσότερους από χίλιους (1.000) εργαζόμενους με σχέση εξαρτημένης εργασίας κατά την 1η Νοεμβρίου 2020,</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 οι οποίες πληρούν σωρευτικά τα κριτήρια της επόμενης παρ., καθώς και την προϋπόθεση της παρ.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 1/4-1-2021 απόφαση των Υπουργών Οικονομικών και Ανάπτυξης και Επενδύσεων (Β' 7).</w:t>
      </w:r>
    </w:p>
    <w:p>
      <w:pPr>
        <w:spacing w:before="240" w:after="240"/>
        <w:rPr>
          <w:lang w:val="el" w:eastAsia="el"/>
        </w:rPr>
      </w:pPr>
      <w:r>
        <w:rPr>
          <w:b/>
          <w:bCs/>
          <w:lang w:val="el" w:eastAsia="el"/>
        </w:rPr>
        <w:t>Κατ' εξαίρεση, δύνανται να υποβάλουν αίτηση σύμφωνα με το άρθρο 6, και οι επιχειρήσεις της παρ. 1 που δήλωσαν έως την 19η Ιανουαρίου 2021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την εκδήλωση ενδιαφέροντος του προηγούμενου εδαφίου.</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30η Νοεμβρίου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Δεν έχουν τεθεί σε αδράνεια από την 1η Ιουλίου 2019 μέχρι και την προηγούμενη ημέρα από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Δεν έχει ανασταλεί, μέχρι και την προηγούμενη ημέρα από την έναρξη ισχύος της παρούσας, η χρήση του ΑΦΜ της επιχείρησης για τη διενέργεια ενδοκοινοτικών συναλλαγών σύμφωνα με την υπό στοιχεία ΓΓΔΕ ΠΟΛ.1200/2015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ε)</w:t>
      </w:r>
      <w:r>
        <w:rPr>
          <w:b/>
          <w:bCs/>
          <w:lang w:val="en" w:eastAsia="en"/>
        </w:rPr>
        <w:tab/>
      </w:r>
      <w:r>
        <w:rPr>
          <w:b/>
          <w:bCs/>
          <w:lang w:val="el" w:eastAsia="el"/>
        </w:rPr>
        <w:t>Παρουσιάζουν μείωση του κύκλου εργασιών τους,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για τις επιχειρήσεις που είναι υποκείμενες σε ΦΠΑ το άθροισμα του κύκλου εργασιών μηνών Σεπτεμβρίου, Οκτωβρίου, Νοεμβρίου και Δεκεμβρίου 2020, όπως αυτός έχει δηλωθεί στην ειδική πλατφόρμα «myBusinessSupport», λαμβάνοντας υπόψη τα στοιχεία των περιοδικών δηλώσεων ΦΠΑ, παρουσιάζει μείωση κατά 20,00% τουλάχιστον σε σχέση με τον κύκλο εργασιών αναφοράς και επιπλέον ο κύκλος εργασιών αναφοράς είναι μεγαλύτερος από εξακόσια (600)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Σεπτεμβρίου, Οκτωβρίου, Νοεμβρίου και Δεκεμβρίου 2020, όπως αυτά έχουν δηλωθεί στην ειδική πλατφόρμα «myBusinessSupport», παρουσιάζει μείωση κατά 20,00% τουλάχιστον, σε σχέση με τα ακαθάριστα έσοδα αναφοράς και επιπλέον τα ακαθάριστα έσοδα αναφοράς είναι μεγαλύτερα από εξακόσια (600) ευρώ.</w:t>
      </w:r>
    </w:p>
    <w:p>
      <w:pPr>
        <w:spacing w:before="240" w:after="240"/>
        <w:rPr>
          <w:lang w:val="el" w:eastAsia="el"/>
        </w:rPr>
      </w:pPr>
      <w:r>
        <w:rPr>
          <w:b/>
          <w:bCs/>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Σε περίπτωση που ο κύκλος εργασιών Σεπτεμβρίου, Οκτωβρίου, Νοεμβρίου ή Δεκεμβρίου 2020, όπως έχει δηλωθεί στην ειδική πλατφόρμα «myBusinessSupport» είναι αρνητικός, ο κύκλος εργασιών του μηνός που είναι αρνητικός, θεωρείται για σκοπούς της παρούσας ίσος με μηδέν. Το ίδιο ισχύει και στη περίπτωση που τα ακαθάριστα έσοδα Σεπτεμβρίου, Οκτωβρίου, Νοεμβρίου ή Δεκεμβρίου 2020 είναι αρνητικά.</w:t>
      </w:r>
    </w:p>
    <w:p>
      <w:pPr>
        <w:spacing w:before="240" w:after="240"/>
        <w:rPr>
          <w:lang w:val="el" w:eastAsia="el"/>
        </w:rPr>
      </w:pPr>
      <w:r>
        <w:rPr>
          <w:b/>
          <w:bCs/>
          <w:lang w:val="el" w:eastAsia="el"/>
        </w:rPr>
        <w:t>Ειδικά οι επιχειρήσεις που έχουν κάνει έναρξη εργασιών από την 1 η Νοεμβρίου 2019 έως και την 29η Φεβρουαρίου 2020, καθώς και από την 1η Αυγού-στου 2020 έως και την 31η Οκτωβρίου 2020, και οι οποίες είτε έχουν ενεργό κύριο ΚΑΔ στις 5-11-2020 έναν από τους περιγραφόμενους στο Παράρτημα V, το οποίο και αποτελεί αναπόσπαστο μέρος της παρούσας υπό στοιχεία ΓΔΟΥ 19/25-1-2021 κοινής απόφασης των Υπουργών Οικονομικών και Ανάπτυξης και Επενδύσεων (Β' 236), ή των οποίων τα ακαθάριστα έσοδα ενεργού κατά την 5-11-2020 ΚΑΔ δευτερεύουσας δραστηριότητας από τους περιγραφόμενους στο Παράρτημα 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5-11-2020, είναι επιλέξιμες ανεξαρτήτως του κύκλου εργασιών τους ή των ακαθάριστων εσόδων τους.</w:t>
      </w:r>
      <w:r>
        <w:rPr>
          <w:rStyle w:val="Hyperlink"/>
          <w:b/>
          <w:bCs/>
          <w:color w:val="000000"/>
          <w:sz w:val="20"/>
          <w:szCs w:val="20"/>
          <w:u w:val="none" w:color="0000EE"/>
          <w:vertAlign w:val="superscript"/>
          <w:lang w:val="el" w:eastAsia="el"/>
        </w:rPr>
        <w:footnoteReference w:id="3"/>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b/>
          <w:bCs/>
          <w:lang w:val="el" w:eastAsia="el"/>
        </w:rPr>
        <w:t>ζ)</w:t>
      </w:r>
      <w:r>
        <w:rPr>
          <w:b/>
          <w:bCs/>
          <w:lang w:val="en" w:eastAsia="en"/>
        </w:rPr>
        <w:tab/>
      </w:r>
      <w:r>
        <w:rPr>
          <w:b/>
          <w:bCs/>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b/>
          <w:bCs/>
          <w:lang w:val="el" w:eastAsia="el"/>
        </w:rPr>
        <w:t>αα)</w:t>
      </w:r>
      <w:r>
        <w:rPr>
          <w:b/>
          <w:bCs/>
          <w:lang w:val="en" w:eastAsia="en"/>
        </w:rPr>
        <w:tab/>
      </w:r>
      <w:r>
        <w:rPr>
          <w:b/>
          <w:bCs/>
          <w:lang w:val="el" w:eastAsia="el"/>
        </w:rPr>
        <w:t>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b/>
          <w:bCs/>
          <w:lang w:val="el" w:eastAsia="el"/>
        </w:rPr>
        <w:t>i)</w:t>
      </w:r>
      <w:r>
        <w:rPr>
          <w:b/>
          <w:bCs/>
          <w:lang w:val="en" w:eastAsia="en"/>
        </w:rPr>
        <w:tab/>
      </w:r>
      <w:r>
        <w:rPr>
          <w:b/>
          <w:bCs/>
          <w:lang w:val="el" w:eastAsia="el"/>
        </w:rPr>
        <w:t>να μην υπάγονται σε συλλογική πτωχευτική διαδικασία και</w:t>
      </w:r>
    </w:p>
    <w:p>
      <w:pPr>
        <w:pStyle w:val="StructureList1"/>
        <w:spacing w:before="120" w:after="0"/>
        <w:rPr>
          <w:lang w:val="el" w:eastAsia="el"/>
        </w:rPr>
      </w:pPr>
      <w:r>
        <w:rPr>
          <w:b/>
          <w:bCs/>
          <w:lang w:val="el" w:eastAsia="el"/>
        </w:rPr>
        <w:t>ii)</w:t>
      </w:r>
      <w:r>
        <w:rPr>
          <w:b/>
          <w:bCs/>
          <w:lang w:val="en" w:eastAsia="en"/>
        </w:rPr>
        <w:tab/>
      </w:r>
      <w:r>
        <w:rPr>
          <w:b/>
          <w:bCs/>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b/>
          <w:bCs/>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υπ' αρ. 1407/13,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είναι υποκείμενες σε ΦΠΑ:</w:t>
      </w:r>
    </w:p>
    <w:p>
      <w:pPr>
        <w:spacing w:before="240" w:after="240"/>
        <w:rPr>
          <w:lang w:val="el" w:eastAsia="el"/>
        </w:rPr>
      </w:pPr>
      <w:r>
        <w:rPr>
          <w:b/>
          <w:bCs/>
          <w:lang w:val="el" w:eastAsia="el"/>
        </w:rPr>
        <w:t>Ενίσχυση = [(Κύκλος εργασιών αναφοράς - Άθροισμα κύκλου εργασιών μηνών Σεπτεμβρίου, Οκτωβρίου, Νοεμβρίου και Δεκεμβρίου 2020) χ ποσοστιαία διαφορά εκροών εισροών] - [αριθμός εργαζομένων σε αναστολή χ 534] - ποσό που έλαβε η επιχείρηση δυνάμει της υπό στοιχεία ΓΔΟΥ 281/14.11.2020 (Β' 5047) απόφασης, όπως ισχύει, 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μηνών Σεπτεμβρίου, Οκτωβρίου, Νοεμβρίου και Δεκεμβρίου 2020 και ο κύκλος εργασιών αναφοράς, όπως ορίζονται στην παρούσα απόφαση. Σε περίπτωση που ο κύκλος εργασιών Σεπτεμβρίου, Οκτωβρίου, Νοεμβρίου ή Δεκεμβρίου 2020, όπως έχει δηλωθεί στην ειδική πλατφόρμα «myBusinessSupport» είναι αρνητικός, ο κύκλος εργασιών του μηνός που είναι αρνητικός, θεωρείται για τους σκοπούς υπολογισμού της ενίσχυσης ίσος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70%, θεωρείται ίση με 70%.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την 1η Οκτωβρίου 2020, την 1η Νοεμβρίου και την 1η Δεκεμβρίου 2020, σύμφωνα με τις δηλώσεις εργοδοτών, όπως τηρούνται στο πληροφοριακό σύστημα ΕΡΓΑΝΗ.</w:t>
      </w:r>
    </w:p>
    <w:p>
      <w:pPr>
        <w:spacing w:before="240" w:after="240"/>
        <w:rPr>
          <w:lang w:val="el" w:eastAsia="el"/>
        </w:rPr>
      </w:pPr>
      <w:r>
        <w:rPr>
          <w:b/>
          <w:bCs/>
          <w:lang w:val="el" w:eastAsia="el"/>
        </w:rPr>
        <w:t>Με την επιφύλαξη των προϋποθέσεων του άρθρου 5 της παρούσας, ειδικά για τις ατομικές επιχειρήσεις που δεν απασχολούσαν κανένα εργαζόμενο κατά την 1η Νοεμβρίου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b/>
          <w:bCs/>
          <w:lang w:val="el" w:eastAsia="el"/>
        </w:rPr>
        <w:t xml:space="preserve">Ενίσχυση </w:t>
      </w:r>
      <w:r>
        <w:rPr>
          <w:b/>
          <w:bCs/>
          <w:lang w:val="el" w:eastAsia="el"/>
        </w:rPr>
        <w:t>= [(Ακαθάριστα έσοδα αναφοράς - Ακαθάριστα έσοδα μηνών Σεπτεμβρίου, Οκτωβρίου, Νοεμβρίου και Δεκεμβρίου 2020) Χ ποσοστιαία διαφορά εσόδων εξόδων] - [αριθμός εργαζομένων σε αναστολή Χ 534] -ποσό που έλαβε η επιχείρηση δυνάμει της υπό στοιχεία ΓΔΟΥ 281/14.11.2020 (Β' 5047) απόφασης, όπως ισχύει, 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μηνών Σεπτεμβρίου, Οκτωβρίου, Νοεμβρίου και Δεκεμβρίου 2020 και τα ακαθάριστα έσοδα αναφοράς, όπως ορίζονται στην παρούσα απόφαση. Σε περίπτωση που τα ακαθάριστα έσοδα Σεπτεμβρίου, Οκτωβρίου, Νοεμβρίου ή Δεκεμβρίου 2020, όπως έχουν δηλωθεί στην ειδική πλατφόρμα «myBusinessSupport» είναι αρνητικά, τα ακαθάριστα έσοδα του μηνός που είναι αρνητικά, θεωρούνται για τους σκοπούς υπολογισμού της ενίσχυσης ίσα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70%, θεωρείται ίση με 70%.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την 1η Οκτωβρίου, την 1η Νοεμβρίου και την 1η Δεκεμβρίου 2020, σύμφωνα με τις δηλώσεις εργοδοτών, όπως τηρούνται στο πληροφοριακό σύστημα ΕΡΓΑΝΗ.</w:t>
      </w:r>
    </w:p>
    <w:p>
      <w:pPr>
        <w:spacing w:before="240" w:after="240"/>
        <w:rPr>
          <w:lang w:val="el" w:eastAsia="el"/>
        </w:rPr>
      </w:pPr>
      <w:r>
        <w:rPr>
          <w:b/>
          <w:bCs/>
          <w:lang w:val="el" w:eastAsia="el"/>
        </w:rPr>
        <w:t>Με την επιφύλαξη των προϋποθέσεων του άρθρου 5 της παρούσας, ειδικά για τις ατομικές επιχειρήσεις που δεν απασχολούσαν κανένα εργαζόμενο κατά την 1η Νοεμβρίου 2020 και δεν διαθέτουν ταμειακή μηχανή, η ενίσχυση ορίζεται, ανεξαρτήτως μαθηματικού τύπου, σε χίλια (1.000) ευρώ.</w:t>
      </w:r>
    </w:p>
    <w:p>
      <w:pPr>
        <w:spacing w:before="240" w:after="240"/>
        <w:rPr>
          <w:lang w:val="el" w:eastAsia="el"/>
        </w:rPr>
      </w:pPr>
      <w:r>
        <w:rPr>
          <w:b/>
          <w:bCs/>
          <w:lang w:val="el" w:eastAsia="el"/>
        </w:rPr>
        <w:t>Σε όλες τις υποπεριπτώσεις των περιπτώσεων της παρούσας παρ.,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είτε έχουν ενεργό κύριο ΚΑΔ στις 05.11.2020 έναν από τους περιγραφόμενους στο συνημμένο Παράρτημα IV, το οποίο και αποτελεί αναπόσπαστο μέρος της παρούσας, ή των οποίων τα ακαθάριστα έσοδα ενεργού κατά την 05.11.2020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05.11.2020:</w:t>
      </w:r>
    </w:p>
    <w:p>
      <w:pPr>
        <w:pStyle w:val="StructureList1"/>
        <w:spacing w:before="120" w:after="0"/>
        <w:rPr>
          <w:lang w:val="el" w:eastAsia="el"/>
        </w:rPr>
      </w:pPr>
      <w:r>
        <w:rPr>
          <w:b/>
          <w:bCs/>
          <w:lang w:val="el" w:eastAsia="el"/>
        </w:rPr>
        <w:t>αα)</w:t>
      </w:r>
      <w:r>
        <w:rPr>
          <w:b/>
          <w:bCs/>
          <w:lang w:val="en" w:eastAsia="en"/>
        </w:rPr>
        <w:tab/>
      </w:r>
      <w:r>
        <w:rPr>
          <w:b/>
          <w:bCs/>
          <w:lang w:val="el" w:eastAsia="el"/>
        </w:rPr>
        <w:t>δύο χιλιάδες (2.000) ευρώ για επιχειρήσεις δικαιούχους που απασχολούν έναν (1) έως πέντε (5) εργαζόμενους με σχέση εξαρτημένης εργασίας την 1η Νοεμβρίου 2020,</w:t>
      </w:r>
    </w:p>
    <w:p>
      <w:pPr>
        <w:pStyle w:val="StructureList1"/>
        <w:spacing w:before="120" w:after="0"/>
        <w:rPr>
          <w:lang w:val="el" w:eastAsia="el"/>
        </w:rPr>
      </w:pPr>
      <w:r>
        <w:rPr>
          <w:b/>
          <w:bCs/>
          <w:lang w:val="el" w:eastAsia="el"/>
        </w:rPr>
        <w:t>ββ)</w:t>
      </w:r>
      <w:r>
        <w:rPr>
          <w:b/>
          <w:bCs/>
          <w:lang w:val="en" w:eastAsia="en"/>
        </w:rPr>
        <w:tab/>
      </w:r>
      <w:r>
        <w:rPr>
          <w:b/>
          <w:bCs/>
          <w:lang w:val="el" w:eastAsia="el"/>
        </w:rPr>
        <w:t>τέσσερις χιλιάδες (4.000) ευρώ για επιχειρήσεις δικαιούχους που απασχολούν άνω των πέντε (5) εργαζομένων με σχέση εξαρτημένης εργασίας την 1η Νοεμβρίου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η ενίσχυση που προκύπτει από τις παρ. 1 και 2 του παρόντος άρθρου δεν δύναται να υπερβαίνει το ποσό των εκατό χιλιάδων (100.000) ευρώ.</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w:t>
      </w:r>
      <w:r>
        <w:rPr>
          <w:b/>
          <w:bCs/>
          <w:lang w:val="el" w:eastAsia="el"/>
        </w:rPr>
        <w:t>(100.000)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8 Φεβρουαρίου 2021. Κατ' εξαίρεση, ειδικά οι επιχειρήσεις που δήλωσαν έως την 19η Ιανουαρίου 2021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και οι οποίες έχουν ενεργό κύριο ΚΑΔ στις 05.11.2020 τον ΚΑΔ 92.00 "Τυχερά παιχνίδια και στοιχήματα εκτός από Υπηρεσίες τυχερών παιχνιδιών”, καθώς και όλες τις κατηγορίες εξαψήφιων και οκταψήφιων ΚΑΔ που περιλαμβάνονται σε αυτόν, εξαιρουμένων των ΚΑΔ 92.00.11 "Υπηρεσίες τυχερών παιχνιδιών τραπεζιού”, 92.00.14"Υπηρεσίες τυχερών παιχνιδιών σε απευθείας (on-line) σύνδεση” και 92.00.21 "Υπηρεσίες στοιχημάτων σε απευθείας (on-line) σύνδεση” ή των οποίων τα ακαθάριστα έσοδα ενεργού κατά την 05.11.2020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05.11.2020, και οι αιτήσεις των οποίων υποβλήθηκαν εμπρόθεσμα ως την 8η Φεβρουαρίου 2021 και έχουν απορριφθεί, δύνανται να υποβάλλουν εκ νέου αίτηση ως την 15η Φεβρουαρίου 2021. </w:t>
      </w:r>
    </w:p>
    <w:p>
      <w:pPr>
        <w:spacing w:before="240" w:after="240"/>
        <w:rPr>
          <w:lang w:val="el" w:eastAsia="el"/>
        </w:rPr>
      </w:pPr>
      <w:r>
        <w:rPr>
          <w:b/>
          <w:bCs/>
          <w:lang w:val="el" w:eastAsia="el"/>
        </w:rPr>
        <w:t>Κατ' εξαίρεση, για τις επιχειρήσεις του προηγούμενου εδαφίου, λαμβάνονται υπόψη για τους σκοπούς της παρούσας απόφασης, τον προσδιορισμό του κύκλου εργασιών αναφοράς, των δικαιούχων και του ύψους της ενίσχυσης, οι περιοδικές δηλώσεις ΦΠΑ των ετών 2019 και 2020 που έχουν υποβληθεί ως την 11η Φεβρουαρίου 2021.</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b/>
          <w:bCs/>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έως την 30η Ιουλίου 2021.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b/>
          <w:bCs/>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επιχειρήσεων που δεν απασχολούσαν κατά την 1η Νοεμβρίου 2020 εργαζόμενους, ή απασχολούσαν έως 10 εργαζόμενους,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των επιχειρήσεων που δεν απασχολούσαν κατά την 1η Νοεμβρίου 2020 εργαζόμενους, ή απασχολούσαν έως 10 εργαζόμενους, των οποίων η ενίσχυση καλύπτεται από τον Προϋπολογισμό Δημοσίων Επενδύσεων (ΠΔΕ),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υπ' αρ. 109/ 12-3-2019 πράξη του Διοικητή της Τράπεζας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Αναλυτική κατάσταση δικαιούχων επιχειρήσεων που απασχολούσαν κατά την 1η Νοεμβρίου 2020 άνω των 10 εργαζομένων,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δ)</w:t>
      </w:r>
      <w:r>
        <w:rPr>
          <w:b/>
          <w:bCs/>
          <w:lang w:val="en" w:eastAsia="en"/>
        </w:rPr>
        <w:tab/>
      </w:r>
      <w:r>
        <w:rPr>
          <w:b/>
          <w:bCs/>
          <w:lang w:val="el" w:eastAsia="el"/>
        </w:rPr>
        <w:t>Συγκεντρωτική κατάσταση των επιχειρήσεων που απασχολούσαν κατά την 1η Νοεμβρίου 2020 άνω των 10 εργαζομένων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υπ' αρ. 109/12-3-2019 πράξη του Διοικητή της Τράπεζας της Ελλάδος.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b/>
          <w:bCs/>
          <w:lang w:val="el" w:eastAsia="el"/>
        </w:rPr>
        <w:t xml:space="preserve"> Για ενισχύσεις προς επιχειρήσεις που δεν απασχολούσαν κατά την 1η Νοεμβρίου 2020 εργαζόμενους, ή απασχολούσαν έως 10 εργαζόμενους, οι οποίες θα βαρύνουν τον Προϋπολογισμό Δημοσίων Επενδύσεων, η συγκεντρωτική κατάσταση της περ. β της παρ. 3 του άρθρου 7 αποστέλλεται στη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ηλεκτρονική εντολή μεταφοράς (eps).</w:t>
      </w:r>
    </w:p>
    <w:p>
      <w:pPr>
        <w:spacing w:before="240" w:after="240"/>
        <w:rPr>
          <w:lang w:val="el" w:eastAsia="el"/>
        </w:rPr>
      </w:pPr>
      <w:r>
        <w:rPr>
          <w:b/>
          <w:bCs/>
          <w:lang w:val="el" w:eastAsia="el"/>
        </w:rPr>
        <w:t>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spacing w:before="240" w:after="240"/>
        <w:rPr>
          <w:lang w:val="el" w:eastAsia="el"/>
        </w:rPr>
      </w:pPr>
      <w:r>
        <w:rPr>
          <w:b/>
          <w:bCs/>
          <w:lang w:val="el" w:eastAsia="el"/>
        </w:rPr>
        <w:t>Η αναλυτική κατάσταση της περ. α της παρ. 3 του άρθρου 7 αποστέλλεται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b/>
          <w:bCs/>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b/>
          <w:bCs/>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b/>
          <w:bCs/>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b/>
          <w:bCs/>
          <w:lang w:val="el" w:eastAsia="el"/>
        </w:rPr>
        <w:t>β)</w:t>
      </w:r>
      <w:r>
        <w:rPr>
          <w:b/>
          <w:bCs/>
          <w:lang w:val="en" w:eastAsia="en"/>
        </w:rPr>
        <w:tab/>
      </w:r>
      <w:r>
        <w:rPr>
          <w:b/>
          <w:bCs/>
          <w:lang w:val="el" w:eastAsia="el"/>
        </w:rPr>
        <w:t>η συγκεντρωτική κατάσταση της περ. β της παρ. 3 του άρθρου 7,</w:t>
      </w:r>
    </w:p>
    <w:p>
      <w:pPr>
        <w:pStyle w:val="StructureList1"/>
        <w:spacing w:before="120" w:after="0"/>
        <w:rPr>
          <w:lang w:val="el" w:eastAsia="el"/>
        </w:rPr>
      </w:pPr>
      <w:r>
        <w:rPr>
          <w:b/>
          <w:bCs/>
          <w:lang w:val="el" w:eastAsia="el"/>
        </w:rPr>
        <w:t>γ)</w:t>
      </w:r>
      <w:r>
        <w:rPr>
          <w:b/>
          <w:bCs/>
          <w:lang w:val="en" w:eastAsia="en"/>
        </w:rPr>
        <w:tab/>
      </w:r>
      <w:r>
        <w:rPr>
          <w:b/>
          <w:bCs/>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τον τακτικό προϋπολογισμό</w:t>
      </w:r>
    </w:p>
    <w:p>
      <w:pPr>
        <w:pStyle w:val="MainText"/>
        <w:spacing w:before="120" w:after="0"/>
        <w:rPr>
          <w:lang w:val="el" w:eastAsia="el"/>
        </w:rPr>
      </w:pPr>
      <w:r>
        <w:rPr>
          <w:b/>
          <w:bCs/>
          <w:lang w:val="el" w:eastAsia="el"/>
        </w:rPr>
        <w:t>1.</w:t>
      </w:r>
      <w:r>
        <w:rPr>
          <w:b/>
          <w:bCs/>
          <w:lang w:val="el" w:eastAsia="el"/>
        </w:rPr>
        <w:t xml:space="preserve"> Για ενισχύσεις προς λοιπές επιχειρήσεις που απασχολούσαν κατά την 1η Νοεμβρίου 2020 άνω των 10 εργαζομένων, οι οποίες θα βαρύνουν τον Τακτικό Προϋπολογισμό του Υπουργείου Οικονομικών, η ηλεκτρονική μορφή της αναλυτικής κατάστασης της περ. γ της παρ. 3 του άρθρου 7 αποστέλλεται με ασφαλή τρόπο προς τη ΔΙΑΣ ΑΕ. Η ίδια πληροφόρηση κοινοποιείται στη ΓΔΟΥ του Υπουργείου Οικονομικών.</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b/>
          <w:bCs/>
          <w:lang w:val="el" w:eastAsia="el"/>
        </w:rPr>
        <w:t xml:space="preserve"> Η συγκεντρωτική κατάσταση της περ. δ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b/>
          <w:bCs/>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η συγκεντρωτική κατάσταση της περ. δ της παρ. 3 του άρθρου 7,</w:t>
      </w:r>
    </w:p>
    <w:p>
      <w:pPr>
        <w:pStyle w:val="StructureList1"/>
        <w:spacing w:before="120" w:after="0"/>
        <w:rPr>
          <w:lang w:val="el" w:eastAsia="el"/>
        </w:rPr>
      </w:pPr>
      <w:r>
        <w:rPr>
          <w:b/>
          <w:bCs/>
          <w:lang w:val="el" w:eastAsia="el"/>
        </w:rPr>
        <w:t>δ)</w:t>
      </w:r>
      <w:r>
        <w:rPr>
          <w:b/>
          <w:bCs/>
          <w:lang w:val="en" w:eastAsia="en"/>
        </w:rPr>
        <w:tab/>
      </w:r>
      <w:r>
        <w:rPr>
          <w:b/>
          <w:bCs/>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ενίσχυσης</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30η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w:t>
      </w:r>
      <w:r>
        <w:rPr>
          <w:rStyle w:val="Hyperlink"/>
          <w:b/>
          <w:bCs/>
          <w:color w:val="000000"/>
          <w:sz w:val="20"/>
          <w:szCs w:val="20"/>
          <w:u w:val="none" w:color="0000EE"/>
          <w:vertAlign w:val="superscript"/>
          <w:lang w:val="el" w:eastAsia="el"/>
        </w:rPr>
        <w:footnoteReference w:id="10"/>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11.</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11.</w:t>
      </w:r>
    </w:p>
    <w:p>
      <w:pPr>
        <w:spacing w:before="240" w:after="240"/>
        <w:rPr>
          <w:lang w:val="el" w:eastAsia="el"/>
        </w:rPr>
      </w:pPr>
      <w:r>
        <w:rPr>
          <w:b/>
          <w:bCs/>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 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περιπτώσεων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τις διατάξεις της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 / e-Κοινοποιήσεις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στις περιπτώσεις επιχειρήσεων που έχουν λάβει ενίσχυση από το ΠΔΕ, το επιστρεπτέο ποσό της ενίσχυσης λογιστικοποιείται στα έσοδα του ΠΔΕ.</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Δ.Α.Ε.Φ.Κ.-Κ.Ε/13758/Α325/20.8.2021 (Β' 3905), Δ.Α.Ε.Φ.Κ.-Κ.Ε/13975/Α325/20.8.2021 (Β' 3898), Δ.Α.Ε.Φ.Κ.-Κ.Ε/13665/Α325/17.8.2021 (Β' 3863) και Δ.Α.Ε.Φ.Κ.-Κ.Ε/11203/Α325/9.7.2021 αποφάσεις των Υπουργών Οικονομικών, Ανάπτυξης και Επενδύσεων, Εσωτερικών, Υποδομών και Μεταφορών, το επιστρε-πτέο ποσό, δεν επιστρέφεται. Για το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από την 1η Νοεμβρίου 2020 έως την 31η Μαρτίου 2021 τον αριθμό των εργαζομένων που απασχολούσε κατά την 1η Νοεμβρίου 2020, βάσει των στοιχείων του συστήματος ΕΡΓΑΝΗ. Σε περίπτωση που το επίπεδο απασχόλησης που είχε η επιχείρηση κατά την 1η Νοεμβρίου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Νοεμβρίου 2020 έως την 31η Μαρτίου 2021 το επίπεδο απασχόλησης που είχε κατά την 1η Μαρτίου 2020. Για τον έλεγχο, από τον αριθμό των εργαζομένων που απασχολούσε η επιχείρηση κατά την 1η Νοεμβρίου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Για τον υπολογισμό, προστίθεται στον αριθμό εργαζομένων αναφοράς, για τον μήνα Νοέμβριο 2020 και για κάθε έναν από τους επόμενους μήνες έως και τον μήνα Μάρτιο 2021,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Στη συνέχεια υπολογίζεται το άθροισμα του ανωτέρω μεγέθους για τους μήνες Νοέμβριο 2020 έως και Μάρτιο 2021 και διαιρείται με τον αριθμό των μηνών, ήτοι με τον αριθμό πέντε (5). Εάν το αποτέλεσμα που προκύπτει είναι μικρότερο κατά μία μονάδα και άνω από τον αριθμό των εργαζομένων που απασχολούσε η επιχείρηση κατά την 1η Νοεμβρίου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Νοεμβρίου 2020 ή κατά την 1η Μαρτίου 2020, κατά περίπτωση, θεωρείται ότι τηρήθηκε η ανωτέρω υποχρέωση διατήρησης του αριθμού των εργαζομένων. Ως αριθμός εργαζομένων αναφοράς ορίζεται το ελάχιστο μεταξύ των εργαζομένων που απασχολούσε η επιχείρηση κατά την 1η Νοεμβρίου 2020 και κατά την 1η Μαρτίου του 2020.</w:t>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 σκοπό αυτό.</w:t>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  </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 β) 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κοινών αποφάσεων, υπό στοιχεία: ΓΔΟΥ 94/2.5.2020 (Β' 1645), ΓΔΟΥ 148/3.7.2020 (Β' 2729), ΓΔΟΥ 233/10.10.2020 (Β' 4471), ΓΔΟΥ 281/13.11.2020 (Β' 5047), ΓΔΟΥ 19/25.1.2021 (Β' 236), ΓΔΟΥ 232/1.3.2021 (Β' 804) και ΓΔΟΥ 420/23.4.2021 (Β' 1689), νοείται ότι εκπληρώνεται η υποχρέωση υποβολής στο πλαίσιο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την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  </w:t>
      </w:r>
    </w:p>
    <w:p>
      <w:pPr>
        <w:spacing w:before="240" w:after="240"/>
        <w:rPr>
          <w:lang w:val="el" w:eastAsia="el"/>
        </w:rPr>
      </w:pPr>
      <w:r>
        <w:rPr>
          <w:b/>
          <w:bCs/>
          <w:lang w:val="el" w:eastAsia="el"/>
        </w:rPr>
        <w:t>Στις περ. α και β η επιχείρηση δεν δικαιούται την έκπτωση της εφάπαξ καταβολής της παρ. 3 του άρθρου 10 για κανένα καταβαλλόμενο ποσό.</w:t>
      </w:r>
    </w:p>
    <w:p>
      <w:pPr>
        <w:spacing w:before="240" w:after="240"/>
        <w:rPr>
          <w:lang w:val="el" w:eastAsia="el"/>
        </w:rPr>
      </w:pPr>
      <w:r>
        <w:rPr>
          <w:b/>
          <w:bCs/>
          <w:lang w:val="el" w:eastAsia="el"/>
        </w:rPr>
        <w:t>  </w:t>
      </w:r>
    </w:p>
    <w:p>
      <w:pPr>
        <w:spacing w:before="240" w:after="240"/>
        <w:rPr>
          <w:lang w:val="el" w:eastAsia="el"/>
        </w:rPr>
      </w:pPr>
      <w:r>
        <w:rPr>
          <w:b/>
          <w:bCs/>
          <w:lang w:val="el" w:eastAsia="el"/>
        </w:rPr>
        <w:t>Για τη βεβαίωση και έκδοση ταυτότητας οφειλής των αχρεωστήτως καταβληθέντων ποσών ακολουθείται η διαδικασία του άρθρου 11Α. Ο υπολογισμός των τόκων ανάκτησης γίνεται από την ημερομηνία χορήγησης της ενίσχυσης.</w:t>
      </w:r>
    </w:p>
    <w:p>
      <w:pPr>
        <w:pStyle w:val="MainText"/>
        <w:spacing w:before="120" w:after="0"/>
        <w:rPr>
          <w:lang w:val="el" w:eastAsia="el"/>
        </w:rPr>
      </w:pPr>
      <w:r>
        <w:rPr>
          <w:b/>
          <w:bCs/>
          <w:lang w:val="el" w:eastAsia="el"/>
        </w:rPr>
        <w:t>6.</w:t>
      </w:r>
      <w:r>
        <w:rPr>
          <w:b/>
          <w:bCs/>
          <w:lang w:val="el" w:eastAsia="el"/>
        </w:rPr>
        <w:t xml:space="preserve"> Σε περίπτωση συγχρηματοδότησης, ο δικαιούχος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b/>
          <w:bCs/>
          <w:lang w:val="el" w:eastAsia="el"/>
        </w:rPr>
        <w:t xml:space="preserve"> Σε περίπτωση συγχρηματοδότησης, ο δικαιούχος-λήπτης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b/>
          <w:bCs/>
          <w:lang w:val="el" w:eastAsia="el"/>
        </w:rPr>
        <w:t>α)</w:t>
      </w:r>
      <w:r>
        <w:rPr>
          <w:b/>
          <w:bCs/>
          <w:lang w:val="en" w:eastAsia="en"/>
        </w:rPr>
        <w:tab/>
      </w:r>
      <w:r>
        <w:rPr>
          <w:b/>
          <w:bCs/>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b/>
          <w:bCs/>
          <w:lang w:val="el" w:eastAsia="el"/>
        </w:rPr>
        <w:t>Άρθρο 11Α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 / e-Κοινοποιήσεις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 / e-Κοινοποιήσεις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10 ως προς τον χρόνο καταβολής ανεξαρτήτως της ημέρας βεβαίωσης και επιβαρύνεται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στις περιπτώσεις επιχειρήσεων που έχουν λάβει ενίσχυση από το ΠΔΕ, τα ποσά λογιστικοποιούνται στα έσοδα του ΠΔΕ.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11 της παρούσας.</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10.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10. Ο νέος τίτλος είσπραξης εξοφλείται σύμφωνα με την παρ. 3 του άρθρου 10.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10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11,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Ειδικότερα θέματα χρηματοδότησης ΠΔΕ</w:t>
      </w:r>
    </w:p>
    <w:p>
      <w:pPr>
        <w:pStyle w:val="MainText"/>
        <w:spacing w:before="120" w:after="0"/>
        <w:rPr>
          <w:lang w:val="el" w:eastAsia="el"/>
        </w:rPr>
      </w:pPr>
      <w:r>
        <w:rPr>
          <w:b/>
          <w:bCs/>
          <w:lang w:val="el" w:eastAsia="el"/>
        </w:rPr>
        <w:t>1.</w:t>
      </w:r>
      <w:r>
        <w:rPr>
          <w:b/>
          <w:bCs/>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b/>
          <w:bCs/>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b/>
          <w:bCs/>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b/>
          <w:bCs/>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b/>
          <w:bCs/>
          <w:lang w:val="el" w:eastAsia="el"/>
        </w:rPr>
        <w:t xml:space="preserve"> Η ανωτέρω υπηρεσία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12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b/>
          <w:bCs/>
          <w:lang w:val="el" w:eastAsia="el"/>
        </w:rPr>
        <w:t>γ)</w:t>
      </w:r>
      <w:r>
        <w:rPr>
          <w:b/>
          <w:bCs/>
          <w:lang w:val="en" w:eastAsia="en"/>
        </w:rPr>
        <w:tab/>
      </w:r>
      <w:r>
        <w:rPr>
          <w:b/>
          <w:bCs/>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 gr) και συγκεκριμένα στον σύνδεσμο https://www.espa.gr/el/Pages/staticAntiFraudPolicy.aspx.</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 ΟΡΙΣΜΟΣ ΠΡΟΒΛΗΜΑΤΙΚΗΣ ΕΠΙΧΕΙΡΗΣΗΣ</w:t>
      </w:r>
    </w:p>
    <w:p>
      <w:pPr>
        <w:spacing w:before="240" w:after="240"/>
        <w:rPr>
          <w:lang w:val="el" w:eastAsia="el"/>
        </w:rPr>
      </w:pPr>
      <w:r>
        <w:rPr>
          <w:b/>
          <w:bCs/>
          <w:lang w:val="el" w:eastAsia="el"/>
        </w:rPr>
        <w:t> </w:t>
      </w:r>
    </w:p>
    <w:p>
      <w:pPr>
        <w:spacing w:before="240" w:after="240"/>
        <w:rPr>
          <w:lang w:val="el" w:eastAsia="el"/>
        </w:rPr>
      </w:pPr>
      <w:r>
        <w:rPr>
          <w:b/>
          <w:b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w:t>
      </w:r>
      <w:r>
        <w:rPr>
          <w:b/>
          <w:bCs/>
          <w:sz w:val="30"/>
          <w:szCs w:val="30"/>
          <w:vertAlign w:val="superscript"/>
          <w:lang w:val="el" w:eastAsia="el"/>
        </w:rPr>
        <w:t>1</w:t>
      </w:r>
      <w:r>
        <w:rPr>
          <w:b/>
          <w:bCs/>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sz w:val="30"/>
          <w:szCs w:val="30"/>
          <w:vertAlign w:val="superscript"/>
          <w:lang w:val="el" w:eastAsia="el"/>
        </w:rPr>
        <w:t>1</w:t>
      </w:r>
      <w:r>
        <w:rPr>
          <w:b/>
          <w:bCs/>
          <w:lang w:val="el" w:eastAsia="el"/>
        </w:rPr>
        <w:t xml:space="preserve">  </w:t>
      </w:r>
      <w:r>
        <w:rPr>
          <w:b/>
          <w:bCs/>
          <w:i/>
          <w:iCs/>
          <w:lang w:val="el" w:eastAsia="el"/>
        </w:rPr>
        <w:t>Όπως ορίζεται στο παράρτημα Ι του καν.651/2014</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 ΠΕΡΙΕΧΟΜΕΝΟ ΑΙΤΗΣΗΣ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b/>
          <w:bCs/>
          <w:lang w:val="el" w:eastAsia="el"/>
        </w:rPr>
        <w:t xml:space="preserve"> Στην περίπτωση που αιτείται ενίσχυσης δυνάμει του Προσωρινού Πλαισίου,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
        <w:gridCol w:w="366"/>
        <w:gridCol w:w="3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p>
      <w:pPr>
        <w:spacing w:before="240" w:after="240"/>
        <w:rPr>
          <w:lang w:val="el" w:eastAsia="el"/>
        </w:rPr>
      </w:pPr>
      <w:r>
        <w:rPr>
          <w:b/>
          <w:bCs/>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b/>
          <w:bCs/>
          <w:lang w:val="el" w:eastAsia="el"/>
        </w:rPr>
        <w:t>• Πολύ μικρή</w:t>
      </w:r>
    </w:p>
    <w:p>
      <w:pPr>
        <w:spacing w:before="240" w:after="240"/>
        <w:rPr>
          <w:lang w:val="el" w:eastAsia="el"/>
        </w:rPr>
      </w:pPr>
      <w:r>
        <w:rPr>
          <w:b/>
          <w:bCs/>
          <w:lang w:val="el" w:eastAsia="el"/>
        </w:rPr>
        <w:t>• Μικρή</w:t>
      </w:r>
    </w:p>
    <w:p>
      <w:pPr>
        <w:spacing w:before="240" w:after="240"/>
        <w:rPr>
          <w:lang w:val="el" w:eastAsia="el"/>
        </w:rPr>
      </w:pPr>
      <w:r>
        <w:rPr>
          <w:b/>
          <w:bCs/>
          <w:lang w:val="el" w:eastAsia="el"/>
        </w:rPr>
        <w:t>• Μεσαία</w:t>
      </w:r>
    </w:p>
    <w:p>
      <w:pPr>
        <w:spacing w:before="240" w:after="240"/>
        <w:rPr>
          <w:lang w:val="el" w:eastAsia="el"/>
        </w:rPr>
      </w:pPr>
      <w:r>
        <w:rPr>
          <w:b/>
          <w:bCs/>
          <w:lang w:val="el" w:eastAsia="el"/>
        </w:rPr>
        <w:t>• Μεγάλη</w:t>
      </w:r>
    </w:p>
    <w:p>
      <w:pPr>
        <w:spacing w:before="240" w:after="240"/>
        <w:rPr>
          <w:lang w:val="el" w:eastAsia="el"/>
        </w:rPr>
      </w:pPr>
      <w:r>
        <w:rPr>
          <w:b/>
          <w:b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w:t>
      </w:r>
    </w:p>
    <w:p>
      <w:pPr>
        <w:spacing w:before="240" w:after="240"/>
        <w:rPr>
          <w:lang w:val="el" w:eastAsia="el"/>
        </w:rPr>
      </w:pPr>
      <w:r>
        <w:rPr>
          <w:b/>
          <w:bCs/>
          <w:lang w:val="el" w:eastAsia="el"/>
        </w:rPr>
        <w:t>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b/>
          <w:bCs/>
          <w:lang w:val="el" w:eastAsia="el"/>
        </w:rPr>
        <w:t xml:space="preserve"> Στην περίπτωση που αιτείται ενίσχυσης δυνάμει του Κανονισμού de minimis, η επιχείρηση δηλώνει:</w:t>
      </w:r>
    </w:p>
    <w:p>
      <w:pPr>
        <w:spacing w:before="240" w:after="240"/>
        <w:rPr>
          <w:lang w:val="el" w:eastAsia="el"/>
        </w:rPr>
      </w:pPr>
      <w:r>
        <w:rPr>
          <w:b/>
          <w:bCs/>
          <w:lang w:val="el" w:eastAsia="el"/>
        </w:rPr>
        <w:t> </w:t>
      </w:r>
    </w:p>
    <w:p>
      <w:pPr>
        <w:spacing w:before="240" w:after="240"/>
        <w:rPr>
          <w:lang w:val="el" w:eastAsia="el"/>
        </w:rPr>
      </w:pPr>
      <w:r>
        <w:rPr>
          <w:b/>
          <w:bCs/>
          <w:lang w:val="el" w:eastAsia="el"/>
        </w:rPr>
        <w:t>α. Όλες τις επιχειρήσεις με τις οποίες συνιστά ενιαία επιχείρηση:</w:t>
      </w:r>
    </w:p>
    <w:p>
      <w:pPr>
        <w:spacing w:before="240" w:after="240"/>
        <w:rPr>
          <w:lang w:val="el" w:eastAsia="el"/>
        </w:rPr>
      </w:pPr>
      <w:r>
        <w:rPr>
          <w:b/>
          <w:bCs/>
          <w:lang w:val="el" w:eastAsia="el"/>
        </w:rPr>
        <w:t>β. Όλες τις ενισχύσεις ήσσονος σημασίας που έχει λάβει σε επίπεδο ενιαίας επιχείρησης κατά την τριετία 2019-2021:</w:t>
      </w:r>
    </w:p>
    <w:p>
      <w:pPr>
        <w:spacing w:before="240" w:after="240"/>
        <w:rPr>
          <w:lang w:val="el" w:eastAsia="el"/>
        </w:rPr>
      </w:pPr>
      <w:r>
        <w:rPr>
          <w:b/>
          <w:bCs/>
          <w:i/>
          <w:iCs/>
          <w:lang w:val="el" w:eastAsia="el"/>
        </w:rPr>
        <w:t>Σημειώνονται, τα εξής:</w:t>
      </w:r>
    </w:p>
    <w:p>
      <w:pPr>
        <w:pStyle w:val="StructureList1"/>
        <w:spacing w:before="120" w:after="0"/>
        <w:rPr>
          <w:lang w:val="el" w:eastAsia="el"/>
        </w:rPr>
      </w:pPr>
      <w:r>
        <w:rPr>
          <w:b/>
          <w:bCs/>
          <w:lang w:val="el" w:eastAsia="el"/>
        </w:rPr>
        <w:t>-</w:t>
      </w:r>
      <w:r>
        <w:rPr>
          <w:b/>
          <w:bCs/>
          <w:lang w:val="en" w:eastAsia="en"/>
        </w:rPr>
        <w:tab/>
      </w:r>
      <w:r>
        <w:rPr>
          <w:b/>
          <w:bCs/>
          <w:i/>
          <w:i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b/>
          <w:bCs/>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b/>
          <w:bCs/>
          <w:lang w:val="el" w:eastAsia="el"/>
        </w:rPr>
        <w:t>-</w:t>
      </w:r>
      <w:r>
        <w:rPr>
          <w:b/>
          <w:bCs/>
          <w:lang w:val="en" w:eastAsia="en"/>
        </w:rPr>
        <w:tab/>
      </w:r>
      <w:r>
        <w:rPr>
          <w:b/>
          <w:bCs/>
          <w:i/>
          <w:i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i/>
          <w:iCs/>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i/>
          <w:iCs/>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i/>
          <w:iCs/>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i/>
          <w:iCs/>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b/>
          <w:bCs/>
          <w:i/>
          <w:iCs/>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17"/>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11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 </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στην παρ.2 του άρθρου 4.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bl>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V ΚΩΔΙΚΟΙ ΑΡΙΘΜΩΝ ΔΡΑΣΤΗΡΙΟΤΗΤΑΣ</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περ. ε) της παρ. 2 του άρθρου 3 της υπό στοιχεία ΓΔΟΥ 19/25-1-2021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Η παρούσα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25 Ιανουαρίου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    </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    </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b/>
          <w:bCs/>
          <w:lang w:val="el" w:eastAsia="el"/>
        </w:rPr>
        <w:t>Υφυπουργός Ανάπτυξης και Επενδύσεων</w:t>
      </w:r>
    </w:p>
    <w:p>
      <w:pPr>
        <w:spacing w:before="240" w:after="240"/>
        <w:rPr>
          <w:lang w:val="el" w:eastAsia="el"/>
        </w:rPr>
      </w:pPr>
      <w:r>
        <w:rPr>
          <w:b/>
          <w:bCs/>
          <w:lang w:val="el" w:eastAsia="el"/>
        </w:rPr>
        <w:t xml:space="preserve">ΙΩΑΝΝΗΣ ΤΣΑΚΙΡΗΣ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38/2021 29.01.2021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38/2021 29.01.2021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38/2021 29.01.2021; Τροποποίηση A. ΓΔΟΥ 133/2021 10.02.2021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741/2021 16.07.2021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60/2022 30.07.2022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1052/2021 16.11.2021; Τροποποίηση A. ΓΔΟΥ 25/2022 31.05.2022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5/27.1.2022 28.01.2022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56/2022 21.07.2022; Τροποποίηση A. ΓΔΟΥ 70/2022 31.08.2022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5/27.1.2022 28.01.2022; Τροποποίηση A. ΓΔΟΥ 56/2022 21.07.2022; Τροποποίηση A. ΓΔΟΥ 85/2022 29.11.2022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25/2022 31.05.2022; Τροποποίηση A. ΓΔΟΥ 85/2022 29.11.2022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175/2021 20.02.2021; Τροποποίηση A. ΓΔΟΥ 612/2021 30.06.2021; Τροποποίηση A. ΓΔΟΥ 741/2021 16.07.2021; Τροποποίηση A. ΓΔΟΥ 961/2021 30.09.2021; Τροποποίηση A. ΓΔΟΥ 1052/2021 16.11.2021; Τροποποίηση A. ΓΔΟΥ 56/2022 21.07.2022; Τροποποίηση A. ΓΔΟΥ 70/2022 31.08.2022; Τροποποίηση A. ΓΔΟΥ 85/2022 29.11.2022; Τροποποίηση A. ΓΔΟΥ 12/2023 01.02.2023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25/2022 31.05.2022; Τροποποίηση A. ΓΔΟΥ 56/2022 21.07.2022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25/2022 31.05.2022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85/2022 29.11.2022; Τροποποίηση A. ΓΔΟΥ 12/2023 01.02.2023</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175/2021 20.02.2021; Τροποποίηση A. ΓΔΟΥ 612/2021 30.06.2021; Τροποποίηση A. ΓΔΟΥ 741/2021 16.07.2021; Τροποποίηση A. ΓΔΟΥ 961/2021 30.09.2021; Τροποποίηση A. ΓΔΟΥ 1052/2021 16.11.2021; Αφαίρεση A. ΓΔΟΥ 56/2022 21.07.2022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38/2021 29.01.2021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