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19</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όπως τροποποιήθηκε με τον Κανονισμό (ΕΕ) υπ’ αρ.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τροποποιήθηκε και ισχύει.</w:t>
      </w:r>
    </w:p>
    <w:p>
      <w:pPr>
        <w:pStyle w:val="PreambelText"/>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9. Tις διατάξεις του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11. Τις διατάξεις της υποπαρ. Β.10 της παρ. 4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12. Τις διατάξεις του ν.δ. 356/1974 Κ.Ε.Δ.Ε. (Α’ 90), όπως ισχύουν.</w:t>
      </w:r>
    </w:p>
    <w:p>
      <w:pPr>
        <w:pStyle w:val="PreambelText"/>
        <w:spacing w:before="240" w:after="240"/>
        <w:rPr>
          <w:lang w:val="el" w:eastAsia="el"/>
        </w:rPr>
      </w:pPr>
      <w:r>
        <w:rPr>
          <w:lang w:val="el" w:eastAsia="el"/>
        </w:rPr>
        <w:t>13. Το π.δ. 62/2020 «Διορισμός Αναπληρωτών Υπουργών και Υφυπουργών» (Α’ 155).</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16.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147/2017 «Οργανισμός του Υπουργείου Οικονομίας και Ανάπτυξης» (Α’ 192).</w:t>
      </w:r>
    </w:p>
    <w:p>
      <w:pPr>
        <w:pStyle w:val="PreambelText"/>
        <w:spacing w:before="240" w:after="240"/>
        <w:rPr>
          <w:lang w:val="el" w:eastAsia="el"/>
        </w:rPr>
      </w:pPr>
      <w:r>
        <w:rPr>
          <w:lang w:val="el" w:eastAsia="el"/>
        </w:rPr>
        <w:t>19. Το π.δ. 80/2016 «Ανάληψη υποχρεώσεων από τους διατάκτες» (Α’ 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 και την περ. 22 του άρθρου 119 του ν. 4622/2019.</w:t>
      </w:r>
    </w:p>
    <w:p>
      <w:pPr>
        <w:pStyle w:val="PreambelText"/>
        <w:spacing w:before="240" w:after="240"/>
        <w:rPr>
          <w:lang w:val="el" w:eastAsia="el"/>
        </w:rPr>
      </w:pPr>
      <w:r>
        <w:rPr>
          <w:lang w:val="el" w:eastAsia="el"/>
        </w:rPr>
        <w:t>21.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Δ1α/Γ.Π.οικ.3060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 και την υπό στοιχεία Δ1α/Γ.Π.οικ.4992/22.2.2021 κοινή απόφαση των ιδίων ως άνω υπουργών (Β’186).</w:t>
      </w:r>
    </w:p>
    <w:p>
      <w:pPr>
        <w:pStyle w:val="PreambelText"/>
        <w:spacing w:before="240" w:after="240"/>
        <w:rPr>
          <w:lang w:val="el" w:eastAsia="el"/>
        </w:rPr>
      </w:pPr>
      <w:r>
        <w:rPr>
          <w:lang w:val="el" w:eastAsia="el"/>
        </w:rPr>
        <w:t>27. Την υπό στοιχεία ΓΔΟΥ1/4.1.2021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Σεπτέμβριο ως και Δεκέμβριο 2020» (Β’ 7), όπως ισχύει.</w:t>
      </w:r>
    </w:p>
    <w:p>
      <w:pPr>
        <w:pStyle w:val="PreambelText"/>
        <w:spacing w:before="240" w:after="240"/>
        <w:rPr>
          <w:lang w:val="el" w:eastAsia="el"/>
        </w:rPr>
      </w:pPr>
      <w:r>
        <w:rPr>
          <w:lang w:val="el" w:eastAsia="el"/>
        </w:rPr>
        <w:t>28. Την από στοιχεία ΓΔΟΥ281/14.11.2020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κορωνοιού COVID-19, κατά τους μήνες Σεπτέμβριο και Οκτώβριο 2020» (Β’ 5047), όπως ισχύει.</w:t>
      </w:r>
    </w:p>
    <w:p>
      <w:pPr>
        <w:pStyle w:val="PreambelText"/>
        <w:spacing w:before="240" w:after="240"/>
        <w:rPr>
          <w:lang w:val="el" w:eastAsia="el"/>
        </w:rPr>
      </w:pPr>
      <w:r>
        <w:rPr>
          <w:lang w:val="el" w:eastAsia="el"/>
        </w:rPr>
        <w:t>29.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30. Την υπό στοιχεία 137675/EΥΘΥ 1016/19.12.2018 απόφαση του Υφυπουργού Οικονομίας και Ανάπτυξης «Αντικατάσταση της 110427/EΥΘΥ/1020/20.10.2016 (Β’ 3521) υπουργικής απόφασης με τίτλο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31.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υπ’ αρ. 46274/26.9.2014, Β’ 2573» (Β’ 2857).</w:t>
      </w:r>
    </w:p>
    <w:p>
      <w:pPr>
        <w:pStyle w:val="PreambelText"/>
        <w:spacing w:before="240" w:after="240"/>
        <w:rPr>
          <w:lang w:val="el" w:eastAsia="el"/>
        </w:rPr>
      </w:pPr>
      <w:r>
        <w:rPr>
          <w:lang w:val="el" w:eastAsia="el"/>
        </w:rPr>
        <w:t>32.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33. Την υπ’ αρ. 109/12-3-2019 πράξη του Διοικητή της Τράπεζας της Ελλάδος.</w:t>
      </w:r>
    </w:p>
    <w:p>
      <w:pPr>
        <w:pStyle w:val="PreambelText"/>
        <w:spacing w:before="240" w:after="240"/>
        <w:rPr>
          <w:lang w:val="el" w:eastAsia="el"/>
        </w:rPr>
      </w:pPr>
      <w:r>
        <w:rPr>
          <w:lang w:val="el" w:eastAsia="el"/>
        </w:rPr>
        <w:t>34.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35. Την υπό στοιχεία 2/3547/ΔΠΓΚ/25.1.2021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36. Την υπό στοιχεία ΓΔΟΥ18/25.1.2021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37. Το γεγονός ότι από τις διατάξεις της παρούσας απόφασης προκαλείται δαπάνη ύψους ενός δισεκατομμυρίου πεντακοσίων εκατομμυρίων (1.500.000.000) ευρώ, για το τρέχον οικονομικό έτος και ειδικότερα τετρακοσίων εκατομμυρίων (400.000.000) ευρώ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ενός δισεκατομμυρίου εκατό εκατομμυρίων (1.100.000.000) ευρώ σε βάρος του Προϋπολογισμού Δημοσίων Επενδύσεων του Υπουργείου Οικονομικών και της ΣΑ051/2, καθώς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τους μήνες Σεπτέμβριο ως και Δεκέμβριο του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της τελευταίας υπό στοιχεία 2008/C 14/02 (C 14/6 της 19.1.2008), ήτοι -0,45,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υπ’ αρ.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εκατομμύρια ευρώ και/ή το σύνολο του ετήσιου ισολογισμού δεν υπερβαίνει τα σαράντα τρία (43) εκατομμύρια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εκατομμύρια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εκατομμύρια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 τρίτο και το τέταρτο τρίμηνο του έτους 2019, ως κύκλος εργασιών αναφοράς λαμβάνεται το άθροισμα του κύκλου εργασιών του τρίτου τριμήνου πολλαπλασιαζόμενο με ένα τρίτο (1/3) και του τέταρτου τριμήνου,</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 τρίτο τρίμηνο του έτους 2019 και έχει θετικό κύκλο εργασιών το τέταρτο τρίμηνο του έτους 2019, ως κύκλος εργασιών αναφοράς λαμβάνεται το τέταρτο τρίμηνο του έτους 2019, πολλαπλασιαζόμενο με τέσσερα τρίτα (4/3).</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τέταρτο τρίμηνο του έτους 2019 και έχει θετικό κύκλο εργασιών το πρώτο τρίμηνο του έτους 2020, ως κύκλος εργασιών αναφοράς λαμβάνεται ο κύκλος εργασιών του πρώτου τριμήνου του 2020 πολλαπλασιαζόμενος με τέσσερα τρίτα (4/3),</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 τέταρτο τρίμηνο του έτους 2019, καθώς και το πρώτο τρίμηνο του έτους 2020 ως κύκλος εργασιών αναφοράς λαμβάνεται ο κύκλος εργασιών του τρίτου τριμήνου του 2020 πολλαπλασιαζόμενος με τέσσερα τρίτα (4/3),</w:t>
      </w:r>
    </w:p>
    <w:p>
      <w:pPr>
        <w:pStyle w:val="StructureList1"/>
        <w:spacing w:before="120" w:after="0"/>
        <w:rPr>
          <w:lang w:val="el" w:eastAsia="el"/>
        </w:rPr>
      </w:pPr>
      <w:r>
        <w:rPr>
          <w:lang w:val="el" w:eastAsia="el"/>
        </w:rPr>
        <w:t>εε)</w:t>
      </w:r>
      <w:r>
        <w:rPr>
          <w:lang w:val="en" w:eastAsia="en"/>
        </w:rPr>
        <w:tab/>
      </w:r>
      <w:r>
        <w:rPr>
          <w:lang w:val="el" w:eastAsia="el"/>
        </w:rPr>
        <w:t>σε διαφορετική περίπτωση,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τους μήνες Σεπτέμβριο, Οκτώβριο, Νοέμβριο και Δεκέμβριο 2019, ως κύκλος εργασιών αναφοράς λαμβάνεται το άθροισμα του κύκλου εργασιών των μηνών Σεπτεμβρίου, Οκτωβρίου, Νοεμβρίου και Δεκεμβρίου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Σεπτέμβριο του 2019 και έχει θετικό κύκλο εργασιών τους μήνες Οκτώβριο, Νοέμβριο και Δεκέμβριο του 2019, ως κύκλος εργασιών αναφοράς λαμβάνεται το άθροισμα του κύκλου εργασιών των μηνών Οκτωβρίου, Νοεμβρίου και Δεκεμβρίου του έτους 2019, πολλαπλασιαζόμενο με τέσσερα τρίτα (4/3),</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τον μήνα Σεπτέμβριο του 2019 και τον μήνα Οκτώβριο 2019 και έχει θετικό κύκλο εργασιών τους μήνες Νοέμβριο και Δεκέμβριο του 2019, ως κύκλος εργασιών αναφοράς λαμβάνεται το άθροισμα του κύκλου εργασιών των μηνών Νοεμβρίου και Δεκεμβρίου του έτους 2019, πολλαπλασιαζόμενο με δύο (2),</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τον μήνα Σεπτέμβριο, τον μήνα Οκτώβριο και τον μήνα Νοέμβριο 2019 και έχει θετικό κύκλο εργασιών τον μήνα Δεκέμβριο του 2019, ως κύκλος εργασιών αναφοράς λαμβάνεται ο κύκλος εργασιών του μηνός Δεκεμβρίου, πολλαπλασιαζόμενος επί τέσσερα (4),</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τους μήνες Σεπτέμβριο, Οκτώβριο, Νοέμβριο και Δεκέμβριο 2019 και έχει θετικό κύκλο εργασιών τον μήνα Φεβρουάριο 2020, ως κύκλος εργασιών αναφοράς λαμβάνεται ο κύκλος εργασιών του μηνός Φεβρουαρίου 2020, πολλαπλασιαζόμενος επί τέσσερα (4),</w:t>
      </w:r>
    </w:p>
    <w:p>
      <w:pPr>
        <w:pStyle w:val="StructureList1"/>
        <w:spacing w:before="120" w:after="0"/>
        <w:rPr>
          <w:lang w:val="el" w:eastAsia="el"/>
        </w:rPr>
      </w:pPr>
      <w:r>
        <w:rPr>
          <w:lang w:val="el" w:eastAsia="el"/>
        </w:rPr>
        <w:t>στστ)</w:t>
      </w:r>
      <w:r>
        <w:rPr>
          <w:lang w:val="en" w:eastAsia="en"/>
        </w:rPr>
        <w:tab/>
      </w:r>
      <w:r>
        <w:rPr>
          <w:lang w:val="el" w:eastAsia="el"/>
        </w:rPr>
        <w:t>σε περίπτωση που ο κύκλος εργασιών των μηνών Σεπτεμβρίου, Οκτωβρίου, Νοεμβρίου και Δεκεμβρίου του έτους 2019 της επιχείρησης δεν είναι θετικός και ο κύκλος εργασιών του μηνός Φεβρουαρίου 2020 δεν είναι θετικός, ως κύκλος εργασιών αναφοράς λαμβάνεται το άθροισμα του κύκλου εργασιών Ιουλίου, Αυγούστου και Σεπτεμβρίου 2020, πολλαπλασιαζόμενο με τέσσερα τρίτα (4/3),</w:t>
      </w:r>
    </w:p>
    <w:p>
      <w:pPr>
        <w:pStyle w:val="StructureList1"/>
        <w:spacing w:before="120" w:after="0"/>
        <w:rPr>
          <w:lang w:val="el" w:eastAsia="el"/>
        </w:rPr>
      </w:pPr>
      <w:r>
        <w:rPr>
          <w:lang w:val="el" w:eastAsia="el"/>
        </w:rPr>
        <w:t>ζζ)</w:t>
      </w:r>
      <w:r>
        <w:rPr>
          <w:lang w:val="en" w:eastAsia="en"/>
        </w:rPr>
        <w:tab/>
      </w:r>
      <w:r>
        <w:rPr>
          <w:lang w:val="el" w:eastAsia="el"/>
        </w:rPr>
        <w:t>σε διαφορετική περίπτωση,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ή του 2020 και ειδικότερα κατά την περίοδο που αφορά ο ανωτέρω υπολογισμός,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έτους 2019, διαιρεμένα με τρία (3),</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τέσσερα (4),</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θετικά ακαθάριστα έσοδα το έτος 2019, ούτε τον μήνα Φεβρουάριο 2020, ως ακαθάριστα έσοδα αναφοράς λαμβάνονται το άθροισμα των ακαθάριστων εσόδων Ιουλίου, Αυγούστου και Σεπτεμβρίου 2020, πολλαπλασιαζόμενο με τέσσερα τρίτα (4/3), όπως αυτά έχουν δηλωθεί στην ειδική πλατφόρμα «myBusinessSupport».</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στην αίτηση εκδήλωσης ενδιαφέροντος της υπό στοιχεία ΓΔΟΥ1/4.1.2021 απόφασης των Υπουργών Οικονομικών και Ανάπτυξης και Επενδύσεων (Β’ 7).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την προηγούμενη ημέρα από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προηγούμενη ημέρα από την έναρξη ισχύος της παρούσας απόφασης.</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Ιουλίου, Αυγούστου και Σεπτεμβρίου 2020, όπως έχουν υποβληθεί στην ηλεκτρονική πλατφόρμα «myBusinessSupport», διαφέρει από το ποσό της περιοδικής δήλωσης ΦΠΑ του τρίτου τριμήνου 2020, όπως έχει υποβληθεί μέχρι την προηγούμενη ημέρα από την έναρξη ισχύος της παρούσας, τότε για σκοπούς προδιορισμού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Ιουλίου, Αυγούστου και Σεπτεμβρίου 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Νοεμβρίου 2020,</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 οι οποίες πληρούν σωρευτικά τα κριτήρια της επόμενης παρ.,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ΓΔΟΥ1/4.1.2021 απόφαση των Υπουργών Οικονομικών και Ανάπτυξης και Επενδύσεων (Β’ 7).</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30η Νοεμβρίου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Ιουλίου 2019 μέχρι και την προηγούμενη ημέρα από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προηγούμενη ημέρα από την έναρξη ισχύος της παρούσας, η χρήση του ΑΦΜ της επιχείρησης για τη διενέργεια ενδοκοινοτικών συναλλαγών σύμφωνα με την υπό στοιχεία ΓΓΔΕ ΠΟΛ. 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Σεπτεμβρίου, Οκτωβρίου, Νοεμβρίου και Δεκεμβρίου 2020, όπως αυτός έχει δηλωθεί στην ειδική πλατφόρμα «myBusinessSupport», λαμβάνοντας υπόψη τα στοιχεία των περιοδικών δηλώσεων ΦΠΑ, παρουσιάζει μείωση κατά 20,00% τουλάχιστον σε σχέση με τον κύκλο εργασιών αναφοράς και επιπλέον ο κύκλος εργασιών αναφοράς είναι μεγαλύτερος από εξακόσια (600) ευρώ,</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Σεπτεμβρίου, Οκτωβρίου, Νοεμβρίου και Δεκεμβρίου 2020, όπως αυτά έχουν δηλωθεί στην ειδική πλατφόρμα «myBusinessSupport», παρουσιάζει μείωση κατά 20,00% τουλάχιστον, σε σχέση με τα ακαθάριστα έσοδα αναφοράς και επιπλέον τα ακαθάριστα έσοδα αναφοράς είναι μεγαλύτερα από εξακόσια (600) ευρώ.</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Σε περίπτωση που ο κύκλος εργασιών Σεπτεμβρίου, Οκτωβρίου, Νοεμβρίου ή Δεκεμβρίου 2020, όπως έχει δηλωθεί στην ειδική πλατφόρμα «myBusinessSupport» είναι αρνητικός, ο κύκλος εργασιών του μηνός που είναι αρνητικός, θεωρείται για σκοπούς της παρούσας ίσος με μηδέν. Το ίδιο ισχύει και στη περίπτωση που τα ακαθάριστα έσοδα Σεπτεμβρίου, Οκτωβρίου, Νοεμβρίου ή Δεκεμβρίου 2020 είναι αρνητικά.</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ζ)</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υπ’ αρ. 1407/13,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Σεπτεμβρίου, Οκτωβρίου, Νοεμβρίου και Δεκεμβρίου 2020) × ποσοστιαία διαφορά εκροών εισροών] - [αριθμός εργαζομένων σε αναστολή × 534] - ποσό που έλαβε η επιχείρηση δυνάμει της υπό στοιχεία ΓΔΟΥ281/14.11.2020 (Β’ 5047) απόφασης, όπως ισχύει, 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Σεπτεμβρίου, Οκτωβρίου, Νοεμβρίου και Δεκεμβρίου 2020 και ο κύκλος εργασιών αναφοράς, όπως ορίζονται στην παρούσα απόφαση. Σε περίπτωση που ο κύκλος εργασιών Σεπτεμβρίου, Οκτωβρίου, Νοεμβρίου ή Δεκεμβρίου 2020, όπως έχει δηλωθεί στην ειδική πλατφόρμα «myBusinessSupport» είναι αρνητικός, ο κύκλος εργασιών του μηνός που είναι αρνητικός, θεωρείται για τους σκοπούς υπολογισμού της ενίσχυσης ίσος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70%, θεωρείται ίση με 70%.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την 1η Οκτωβρίου 2020, την 1η Νοεμβρίου και την 1η Δεκεμβρίου 2020, σύμφωνα με τις δηλώσεις εργοδοτών, όπως τηρούνται στο πληροφοριακό σύστημα ΕΡΓΑΝΗ.</w:t>
      </w:r>
    </w:p>
    <w:p>
      <w:pPr>
        <w:spacing w:before="240" w:after="240"/>
        <w:rPr>
          <w:lang w:val="el" w:eastAsia="el"/>
        </w:rPr>
      </w:pPr>
      <w:r>
        <w:rPr>
          <w:lang w:val="el" w:eastAsia="el"/>
        </w:rPr>
        <w:t>Με την επιφύλαξη των προϋποθέσεων του άρθρου 5 της παρούσας, ειδικά για τις ατομικές επιχειρήσεις που δεν απασχολούσαν κανένα εργαζόμενο κατά την 1η Νοεμβρίου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Σεπτεμβρίου, Οκτωβρίου, Νοεμβρίου και Δεκεμβρίου 2020) Χ ποσοστιαία διαφορά εσόδων εξόδων] - [αριθμός εργαζομένων σε αναστολή Χ 534] - ποσό που έλαβε η επιχείρηση δυνάμει της υπό στοιχεία ΓΔΟΥ281/14.11.2020 (Β’ 5047) απόφασης, όπως ισχύει, 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Σεπτεμβρίου, Οκτωβρίου, Νοεμβρίου και Δεκεμβρίου 2020 και τα ακαθάριστα έσοδα αναφοράς, όπως ορίζονται στην παρούσα απόφαση. Σε περίπτωση που τα ακαθάριστα έσοδα Σεπτεμβρίου, Οκτωβρίου, Νοεμβρίου ή Δεκεμβρίου 2020, όπως έχουν δηλωθεί στην ειδική πλατφόρμα «myBusinessSupport» είναι αρνητικά, τα ακαθάριστα έσοδα του μηνός που είναι αρνητικά, θεωρούνται για τους σκοπούς υπολογισμού της ενίσχυσης ίσα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70%, θεωρείται ίση με 70%.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την 1η Οκτωβρίου, την 1η Νοεμβρίου και την 1η Δεκεμβρίου 2020, σύμφωνα με τις δηλώσεις εργοδοτών, όπως τηρούνται στο πληροφοριακό σύστημα ΕΡΓΑΝΗ.</w:t>
      </w:r>
    </w:p>
    <w:p>
      <w:pPr>
        <w:spacing w:before="240" w:after="240"/>
        <w:rPr>
          <w:lang w:val="el" w:eastAsia="el"/>
        </w:rPr>
      </w:pPr>
      <w:r>
        <w:rPr>
          <w:lang w:val="el" w:eastAsia="el"/>
        </w:rPr>
        <w:t>Με την επιφύλαξη των προϋποθέσεων του άρθρου 5 της παρούσας, ειδικά για τις ατομικές επιχειρήσεις που δεν απασχολούσαν κανένα εργαζόμενο κατά την 1η Νοεμβρίου 2020 και δεν διαθέτουν ταμειακή μηχανή, η ενίσχυση ορίζεται, ανεξαρτήτως μαθηματικού τύπου, σε χίλια (1.000) ευρώ.</w:t>
      </w:r>
    </w:p>
    <w:p>
      <w:pPr>
        <w:spacing w:before="240" w:after="240"/>
        <w:rPr>
          <w:lang w:val="el" w:eastAsia="el"/>
        </w:rPr>
      </w:pPr>
      <w:r>
        <w:rPr>
          <w:lang w:val="el" w:eastAsia="el"/>
        </w:rPr>
        <w:t>Σε όλες τις υποπεριπτώσεις των περιπτώσεων της παρούσας παρ.,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είτε έχουν ενεργό κύριο ΚΑΔ στις 05.11.2020 έναν από τους περιγραφόμενους στο συνημμένο Παράρτημα ΙV, το οποίο και αποτελεί αναπόσπαστο μέρος της παρούσας, ή των οποίων τα ακαθάριστα έσοδα ενεργού κατά την 05.11.2020 ΚΑΔ δευτερεύουσας δραστηριότητας από τους περιγραφόμενους στο Παράρτημα ΙV,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05.11.2020:</w:t>
      </w:r>
    </w:p>
    <w:p>
      <w:pPr>
        <w:pStyle w:val="StructureList1"/>
        <w:spacing w:before="120" w:after="0"/>
        <w:rPr>
          <w:lang w:val="el" w:eastAsia="el"/>
        </w:rPr>
      </w:pPr>
      <w:r>
        <w:rPr>
          <w:lang w:val="el" w:eastAsia="el"/>
        </w:rPr>
        <w:t>αα)</w:t>
      </w:r>
      <w:r>
        <w:rPr>
          <w:lang w:val="en" w:eastAsia="en"/>
        </w:rPr>
        <w:tab/>
      </w:r>
      <w:r>
        <w:rPr>
          <w:lang w:val="el" w:eastAsia="el"/>
        </w:rPr>
        <w:t>δύο χιλιάδες (2.000) ευρώ για επιχειρήσεις δικαιούχους που απασχολούν έναν (1) έως πέντε (5) εργαζόμενους με σχέση εξαρτημένης εργασίας την 1η Νοεμβρίου 2020,</w:t>
      </w:r>
    </w:p>
    <w:p>
      <w:pPr>
        <w:pStyle w:val="StructureList1"/>
        <w:spacing w:before="120" w:after="0"/>
        <w:rPr>
          <w:lang w:val="el" w:eastAsia="el"/>
        </w:rPr>
      </w:pPr>
      <w:r>
        <w:rPr>
          <w:lang w:val="el" w:eastAsia="el"/>
        </w:rPr>
        <w:t>ββ)</w:t>
      </w:r>
      <w:r>
        <w:rPr>
          <w:lang w:val="en" w:eastAsia="en"/>
        </w:rPr>
        <w:tab/>
      </w:r>
      <w:r>
        <w:rPr>
          <w:lang w:val="el" w:eastAsia="el"/>
        </w:rPr>
        <w:t>τέσσερις χιλιάδες (4.000) ευρώ για επιχειρήσεις δικαιούχους που απασχολούν άνω των πέντε (5) εργαζομένων με σχέση εξαρτημένης εργασίας την 1η Νοεμβρίου 2020.</w:t>
      </w:r>
    </w:p>
    <w:p>
      <w:pPr>
        <w:pStyle w:val="StructureList1"/>
        <w:spacing w:before="120" w:after="0"/>
        <w:rPr>
          <w:lang w:val="el" w:eastAsia="el"/>
        </w:rPr>
      </w:pPr>
      <w:r>
        <w:rPr>
          <w:lang w:val="el" w:eastAsia="el"/>
        </w:rPr>
        <w:t>β)</w:t>
      </w:r>
      <w:r>
        <w:rPr>
          <w:lang w:val="en" w:eastAsia="en"/>
        </w:rPr>
        <w:tab/>
      </w:r>
      <w:r>
        <w:rPr>
          <w:lang w:val="el" w:eastAsia="el"/>
        </w:rPr>
        <w:t>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 δεν δύναται να υπερβαίνει το ποσό των εκατό χιλιάδων (100.000)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2 Φεβρουαρίου 2021.</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επιχειρήσεων που δεν απασχολούσαν κατά την 1η Νοεμβρίου 2020 εργαζόμενους, ή απασχολούσαν έως 10 εργαζόμενους,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επιχειρήσεων που δεν απασχολούσαν κατά την 1η Νοεμβρίου 2020 εργαζόμενους, ή απασχολούσαν έως 10 εργαζόμενους, των οποίων η ενίσχυση καλύπτεται από τον Προϋπολογισμό Δημοσίων Επενδύσεων (ΠΔΕ),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υπ’ αρ. 109/ 12-3-2019 πράξη του Διοικητή της Τράπεζας της Ελλάδος.</w:t>
      </w:r>
    </w:p>
    <w:p>
      <w:pPr>
        <w:pStyle w:val="StructureList1"/>
        <w:spacing w:before="120" w:after="0"/>
        <w:rPr>
          <w:lang w:val="el" w:eastAsia="el"/>
        </w:rPr>
      </w:pPr>
      <w:r>
        <w:rPr>
          <w:lang w:val="el" w:eastAsia="el"/>
        </w:rPr>
        <w:t>γ)</w:t>
      </w:r>
      <w:r>
        <w:rPr>
          <w:lang w:val="en" w:eastAsia="en"/>
        </w:rPr>
        <w:tab/>
      </w:r>
      <w:r>
        <w:rPr>
          <w:lang w:val="el" w:eastAsia="el"/>
        </w:rPr>
        <w:t>Αναλυτική κατάσταση δικαιούχων επιχειρήσεων που απασχολούσαν κατά την 1η Νοεμβρίου 2020 άνω των 10 εργαζομένων,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δ)</w:t>
      </w:r>
      <w:r>
        <w:rPr>
          <w:lang w:val="en" w:eastAsia="en"/>
        </w:rPr>
        <w:tab/>
      </w:r>
      <w:r>
        <w:rPr>
          <w:lang w:val="el" w:eastAsia="el"/>
        </w:rPr>
        <w:t>Συγκεντρωτική κατάσταση των επιχειρήσεων που απασχολούσαν κατά την 1η Νοεμβρίου 2020 άνω των 10 εργαζομένων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υπ’ αρ.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lang w:val="el" w:eastAsia="el"/>
        </w:rPr>
        <w:t xml:space="preserve"> Για ενισχύσεις προς επιχειρήσεις που δεν απασχολούσαν κατά την 1η Νοεμβρίου 2020 εργαζόμενους, ή απασχολούσαν έως 10 εργαζόμενους, οι οποίες θα βαρύνουν τον Προϋπολογισμό Δημοσίων Επενδύσεων, η συγκεντρωτική κατάσταση της περ. β της παρ. 3 του άρθρου 7 αποστέλλεται στη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ηλεκτρονική εντολή μεταφοράς (eps).</w:t>
      </w:r>
    </w:p>
    <w:p>
      <w:pPr>
        <w:spacing w:before="240" w:after="240"/>
        <w:rPr>
          <w:lang w:val="el" w:eastAsia="el"/>
        </w:rPr>
      </w:pPr>
      <w:r>
        <w:rPr>
          <w:lang w:val="el" w:eastAsia="el"/>
        </w:rPr>
        <w:t>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γ)</w:t>
      </w:r>
      <w:r>
        <w:rPr>
          <w:lang w:val="en" w:eastAsia="en"/>
        </w:rPr>
        <w:tab/>
      </w:r>
      <w:r>
        <w:rPr>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καταβολής της ενίσχυσης</w:t>
      </w:r>
    </w:p>
    <w:p>
      <w:pPr>
        <w:spacing w:before="240" w:after="240"/>
        <w:rPr>
          <w:lang w:val="el" w:eastAsia="el"/>
        </w:rPr>
      </w:pPr>
      <w:r>
        <w:rPr>
          <w:lang w:val="el" w:eastAsia="el"/>
        </w:rPr>
        <w:t>από τον τακτικό προϋπολογισμό</w:t>
      </w:r>
    </w:p>
    <w:p>
      <w:pPr>
        <w:pStyle w:val="MainText"/>
        <w:spacing w:before="120" w:after="0"/>
        <w:rPr>
          <w:lang w:val="el" w:eastAsia="el"/>
        </w:rPr>
      </w:pPr>
      <w:r>
        <w:rPr>
          <w:b/>
          <w:bCs/>
          <w:lang w:val="el" w:eastAsia="el"/>
        </w:rPr>
        <w:t>1.</w:t>
      </w:r>
      <w:r>
        <w:rPr>
          <w:lang w:val="el" w:eastAsia="el"/>
        </w:rPr>
        <w:t xml:space="preserve"> Για ενισχύσεις προς λοιπές επιχειρήσεις που απασχολούσαν κατά την 1η Νοεμβρίου 2020 άνω των 10 εργαζομένων, οι οποίες θα βαρύνουν τον Τακτικό Προϋπολογισμό του Υπουργείου Οικονομικών, η ηλεκτρονική μορφή της αναλυτικής κατάστασης της περ. γ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δ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δ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και προϋποθέσεις επιστροφής της ενίσχυσης</w:t>
      </w:r>
    </w:p>
    <w:p>
      <w:pPr>
        <w:pStyle w:val="MainText"/>
        <w:spacing w:before="120" w:after="0"/>
        <w:rPr>
          <w:lang w:val="el" w:eastAsia="el"/>
        </w:rPr>
      </w:pPr>
      <w:r>
        <w:rPr>
          <w:b/>
          <w:bCs/>
          <w:lang w:val="el" w:eastAsia="el"/>
        </w:rPr>
        <w:t>1.</w:t>
      </w:r>
      <w:r>
        <w:rPr>
          <w:lang w:val="el" w:eastAsia="el"/>
        </w:rPr>
        <w:t xml:space="preserve"> Το ήμισυ (50%) του ποσού της ενίσχυσης δεν επιστρέφεται υπό τον όρο διατήρησης του επιπέδου απασχόλησης έως την 30η Ιουνίου 2021, σύμφωνα με τα προβλεπόμενα στην παρ. 8 του παρόντος άρθρου.</w:t>
      </w:r>
    </w:p>
    <w:p>
      <w:pPr>
        <w:pStyle w:val="MainText"/>
        <w:spacing w:before="120" w:after="0"/>
        <w:rPr>
          <w:lang w:val="el" w:eastAsia="el"/>
        </w:rPr>
      </w:pPr>
      <w:r>
        <w:rPr>
          <w:b/>
          <w:bCs/>
          <w:lang w:val="el" w:eastAsia="el"/>
        </w:rPr>
        <w:t>2.</w:t>
      </w:r>
      <w:r>
        <w:rPr>
          <w:lang w:val="el" w:eastAsia="el"/>
        </w:rPr>
        <w:t xml:space="preserve"> Το ποσό της ενίσχυσης που επιστρέφεται επιβαρύνεται με επιτόκιο αναφοράς, όπως αυτό ορίζεται στην παρ. 4 του άρθρου 2 της παρούσας.</w:t>
      </w:r>
    </w:p>
    <w:p>
      <w:pPr>
        <w:pStyle w:val="MainText"/>
        <w:spacing w:before="120" w:after="0"/>
        <w:rPr>
          <w:lang w:val="el" w:eastAsia="el"/>
        </w:rPr>
      </w:pPr>
      <w:r>
        <w:rPr>
          <w:b/>
          <w:bCs/>
          <w:lang w:val="el" w:eastAsia="el"/>
        </w:rPr>
        <w:t>3.</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4.</w:t>
      </w:r>
      <w:r>
        <w:rPr>
          <w:lang w:val="el" w:eastAsia="el"/>
        </w:rPr>
        <w:t xml:space="preserve"> Μετά την παρέλευση της περιόδου χάριτος, το ποσό της ληφθείσας ενίσχυσης που επιστρέφεται, αποπληρώνεται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5.</w:t>
      </w:r>
      <w:r>
        <w:rPr>
          <w:lang w:val="el" w:eastAsia="el"/>
        </w:rPr>
        <w:t xml:space="preserve"> Το ποσό της ενίσχυσης που επιστρέφεται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«myTAXISNet/ο λογαριασμός μου/Προσωποποιημένη πληροφόρηση/Στοιχεία Οφειλών εκτός Ρύθμισης και Πληρωμή».</w:t>
      </w:r>
    </w:p>
    <w:p>
      <w:pPr>
        <w:pStyle w:val="MainText"/>
        <w:spacing w:before="120" w:after="0"/>
        <w:rPr>
          <w:lang w:val="el" w:eastAsia="el"/>
        </w:rPr>
      </w:pPr>
      <w:r>
        <w:rPr>
          <w:b/>
          <w:bCs/>
          <w:lang w:val="el" w:eastAsia="el"/>
        </w:rPr>
        <w:t>6.</w:t>
      </w:r>
      <w:r>
        <w:rPr>
          <w:lang w:val="el" w:eastAsia="el"/>
        </w:rPr>
        <w:t xml:space="preserve"> Το ανωτέρω ποσό βεβαιώνεται ως δημόσιο έσοδο και εμφανίζεται στα έσοδα του κρατικού προϋπολογισμού,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7.</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8.</w:t>
      </w:r>
      <w:r>
        <w:rPr>
          <w:lang w:val="el" w:eastAsia="el"/>
        </w:rPr>
        <w:t xml:space="preserve"> Για την πλήρωση της προϋπόθεσης διατήρησης του επίπεδου απασχόλησης της παρ. 1 του παρόντος άρθρου η επιχείρηση υποχρεούται να διατηρήσει από την 1η Νοεμβρίου 2020 έως την 30η Ιουνίου 2021 το επίπεδο απασχόλησης που είχε κατά την 1η Νοεμβρίου 2020, βάσει των στοιχείων του συστήματος ΕΡΓΑΝΗ. Σε περίπτωση που το επίπεδο απασχόλησης που είχε η επιχείρηση κατά την 1η Νοεμβρίου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Νοεμβρίου 2020 έως την 30η Ιουνίου 2021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Νοεμβρίου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Νοεμβρίου 2020 έως την 31η Μαρτίου 2021 το επίπεδο απασχόλησης που είχε κατά την 1η Νοεμβρίου 2020, βάσει των στοιχείων του συστήματος ΕΡΓΑΝΗ. Σε περίπτωση που το επίπεδο απασχόλησης που είχε η επιχείρηση κατά την 1η Νοεμβρίου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Νοεμβρίου 2020 έως την 31η Μαρτίου 2021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Νοεμβρίου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προσκομίσει μέχρι την 31η Μαρτίου 2021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ΓΔΟΥ του Υπουργείου Οικονομικών.</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Σε περίπτωση συγχρηματοδότησης, ο δικαιούχος -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lang w:val="el" w:eastAsia="el"/>
        </w:rPr>
        <w:t xml:space="preserve"> Σε περίπτωση συγχρηματοδότησης, ο δικαιούχοςλήπτης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lang w:val="el" w:eastAsia="el"/>
        </w:rPr>
        <w:t>α)</w:t>
      </w:r>
      <w:r>
        <w:rPr>
          <w:lang w:val="en" w:eastAsia="en"/>
        </w:rPr>
        <w:tab/>
      </w:r>
      <w:r>
        <w:rPr>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lang w:val="el" w:eastAsia="el"/>
        </w:rPr>
        <w:t>β)</w:t>
      </w:r>
      <w:r>
        <w:rPr>
          <w:lang w:val="en" w:eastAsia="en"/>
        </w:rPr>
        <w:tab/>
      </w:r>
      <w:r>
        <w:rPr>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Ειδικότερα θέματα χρηματοδότησης ΠΔΕ</w:t>
      </w:r>
    </w:p>
    <w:p>
      <w:pPr>
        <w:pStyle w:val="MainText"/>
        <w:spacing w:before="120" w:after="0"/>
        <w:rPr>
          <w:lang w:val="el" w:eastAsia="el"/>
        </w:rPr>
      </w:pPr>
      <w:r>
        <w:rPr>
          <w:b/>
          <w:bCs/>
          <w:lang w:val="el" w:eastAsia="el"/>
        </w:rPr>
        <w:t>1.</w:t>
      </w:r>
      <w:r>
        <w:rPr>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12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γ)</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6" w:history="1">
        <w:r>
          <w:rPr>
            <w:rStyle w:val="Hyperlink"/>
            <w:color w:val="0000EE"/>
            <w:u w:color="0000EE"/>
            <w:lang w:val="el" w:eastAsia="el"/>
          </w:rPr>
          <w:t>www.espa</w:t>
        </w:r>
      </w:hyperlink>
      <w:r>
        <w:rPr>
          <w:lang w:val="el" w:eastAsia="el"/>
        </w:rPr>
        <w:t xml:space="preserve">. gr) και συγκεκριμένα στον σύνδεσμο </w:t>
      </w:r>
      <w:hyperlink r:id="rId7" w:history="1">
        <w:r>
          <w:rPr>
            <w:rStyle w:val="Hyperlink"/>
            <w:color w:val="0000EE"/>
            <w:u w:color="0000EE"/>
            <w:lang w:val="el" w:eastAsia="el"/>
          </w:rPr>
          <w:t>https://www.espa</w:t>
        </w:r>
      </w:hyperlink>
      <w:r>
        <w:rPr>
          <w:lang w:val="el" w:eastAsia="el"/>
        </w:rPr>
        <w:t>. gr/el/Pages/staticAntiFraudPolicy.aspx.</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 xml:space="preserve">τουλάχιστον μία από </w:t>
      </w:r>
      <w:r>
        <w:rPr>
          <w:i/>
          <w:iCs/>
          <w:u w:val="single"/>
          <w:lang w:val="el" w:eastAsia="el"/>
        </w:rPr>
        <w:t>τις</w:t>
      </w:r>
      <w:r>
        <w:rPr>
          <w:u w:val="single"/>
          <w:lang w:val="el" w:eastAsia="el"/>
        </w:rPr>
        <w:t xml:space="preserve">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w:t>
      </w:r>
      <w:r>
        <w:rPr>
          <w:sz w:val="30"/>
          <w:szCs w:val="30"/>
          <w:vertAlign w:val="superscript"/>
          <w:lang w:val="el" w:eastAsia="el"/>
        </w:rPr>
        <w:t>1</w:t>
      </w:r>
      <w:r>
        <w:rPr>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i/>
          <w:iCs/>
          <w:lang w:val="el" w:eastAsia="el"/>
        </w:rPr>
        <w:t xml:space="preserve">Όπως ορίζεται στο Παράρτημα </w:t>
      </w:r>
      <w:r>
        <w:rPr>
          <w:b/>
          <w:bCs/>
          <w:i/>
          <w:iCs/>
          <w:lang w:val="el" w:eastAsia="el"/>
        </w:rPr>
        <w:t xml:space="preserve">I </w:t>
      </w:r>
      <w:r>
        <w:rPr>
          <w:b/>
          <w:bCs/>
          <w:i/>
          <w:iCs/>
          <w:lang w:val="el" w:eastAsia="el"/>
        </w:rPr>
        <w:t>του Καν</w:t>
      </w:r>
      <w:r>
        <w:rPr>
          <w:i/>
          <w:iCs/>
          <w:lang w:val="el" w:eastAsia="el"/>
        </w:rPr>
        <w:t>.651/2014.</w:t>
      </w:r>
    </w:p>
    <w:p>
      <w:pPr>
        <w:spacing w:before="240" w:after="240"/>
        <w:rPr>
          <w:lang w:val="el" w:eastAsia="el"/>
        </w:rPr>
      </w:pPr>
      <w:r>
        <w:rPr>
          <w:lang w:val="el" w:eastAsia="el"/>
        </w:rPr>
        <w:t>2) 0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 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w:t>
      </w:r>
    </w:p>
    <w:p>
      <w:pPr>
        <w:spacing w:before="240" w:after="240"/>
        <w:rPr>
          <w:lang w:val="el" w:eastAsia="el"/>
        </w:rPr>
      </w:pPr>
      <w:r>
        <w:rPr>
          <w:lang w:val="el" w:eastAsia="el"/>
        </w:rPr>
        <w:t>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ζ .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θ .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 xml:space="preserve">3 </w:t>
      </w:r>
      <w:r>
        <w:rPr>
          <w:b/>
          <w:bCs/>
          <w:lang w:val="el" w:eastAsia="el"/>
        </w:rPr>
        <w:t>. 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 Όλες τις ενισχύσεις ήσσονος σημασίας που έχει λάβει σε επίπεδο ενιαίας επιχείρησης κατά την τριετία 2019-2021: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ΣnuεLώvovτaL τα εξής</w:t>
      </w:r>
      <w:r>
        <w:rPr>
          <w:i/>
          <w:iCs/>
          <w:u w:val="single"/>
          <w:lang w:val="el" w:eastAsia="el"/>
        </w:rPr>
        <w:t>:</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ότι έχει χσρηγη^εί κατά τσν χρόνσ παραχώρησης στην σίκεία επιχείρηση τσυ έννσμσυ δίκαίώματσς λήψης της ενίσχυσης (ήτσί κατά την ημερσμηνία έκδσσης εγκριτικής απόφασης), ανεξάρτητα από την ημερσμηνία καταβσλής της ενίσχυσης στην επιχείρηση.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εξαγσρών, όλες σί πρσηγσύμενες ενισχύσεις ήσσσνσς σημασίας πσυ έχσυν ήδη χσρηγηδεί σε σπσίαδήπστε από τίς συγχωνευόμενες επιχειρήσεις δηλώνσνταί επίσης στσν ως άνω πίνακα καί λαμβάνσνταί υπόψη γία να πρσσδίσρίστεί κατά πόσσ η νέα ενίσχυση ήσσσνσς σημασίας στη νέα ή στην εξαγσράζσυσα επίχείρηση υπερβαίνεί τσ σχετίκό ανώτατσ όρίσ.</w:t>
      </w:r>
    </w:p>
    <w:p>
      <w:pPr>
        <w:pStyle w:val="StructureList1"/>
        <w:spacing w:before="120" w:after="0"/>
        <w:rPr>
          <w:lang w:val="el" w:eastAsia="el"/>
        </w:rPr>
      </w:pPr>
      <w:r>
        <w:rPr>
          <w:lang w:val="el" w:eastAsia="el"/>
        </w:rPr>
        <w:t>-</w:t>
      </w:r>
      <w:r>
        <w:rPr>
          <w:lang w:val="en" w:eastAsia="en"/>
        </w:rPr>
        <w:tab/>
      </w:r>
      <w:r>
        <w:rPr>
          <w:i/>
          <w:iCs/>
          <w:lang w:val="el" w:eastAsia="el"/>
        </w:rPr>
        <w:t>Αν μία επίχείρηση έχεί δίασπαστεί σε δύσ ή περίσσότερες χωρίστές επίχείρησείς, η ενίσχυση ήσσσνσς σημασίας πσυ χσρηγήδηκε πρίν από τη δίάσπαση καταλσγίζεταί στην επίχείρηση πσυ έλαβε αυτή την ενίσχυση, η σπσία είναί κατά κανόνα η επίχείρηση πσυ ανέλαβε τίς δραστηρίότητες γία τίς σπσίες χρησίμσπσίήδηκε η ενίσχυση ήσσσνσς σημασίας. Εάν σ εν λόγω καταλσγίσμός δεν είναί δυνατός, σί ενίσχύσείς ήσσσνσς σημασίας πρέπεί να κατανέμσνταί αναλσγίκά με βάση τη λσγίστίκή αξία των ίδίων κεφαλαίων των νέων επίχείρήσεων κατά την πραγματίκή ημερσμηνία της δίάσπασης.</w:t>
      </w:r>
    </w:p>
    <w:p>
      <w:pPr>
        <w:spacing w:before="240" w:after="240"/>
        <w:rPr>
          <w:lang w:val="el" w:eastAsia="el"/>
        </w:rPr>
      </w:pPr>
      <w:r>
        <w:rPr>
          <w:i/>
          <w:iCs/>
          <w:lang w:val="el" w:eastAsia="el"/>
        </w:rPr>
        <w:t>y.</w:t>
      </w:r>
      <w:r>
        <w:rPr>
          <w:lang w:val="el" w:eastAsia="el"/>
        </w:rPr>
        <w:t xml:space="preserve">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lang w:val="el" w:eastAsia="el"/>
        </w:rPr>
        <w:t>ζ .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ΔΙΚΑΙ0Λ0ΓΗΤΙΚΑ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11 της παρούσας να προσκομίσει τα κάτωθι δικαιολονητικά ως την 31η Μαρτίου 2021:</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λιπών και </w:t>
            </w:r>
            <w:r>
              <w:rPr>
                <w:b w:val="0"/>
                <w:bCs w:val="0"/>
                <w:i/>
                <w:iCs/>
                <w:smallCaps w:val="0"/>
                <w:color w:val="000000"/>
                <w:lang w:val="el" w:eastAsia="el"/>
              </w:rPr>
              <w:t>ελαίων</w:t>
            </w:r>
            <w:r>
              <w:rPr>
                <w:b w:val="0"/>
                <w:bCs w:val="0"/>
                <w:i w:val="0"/>
                <w:iCs w:val="0"/>
                <w:smallCaps w:val="0"/>
                <w:color w:val="000000"/>
                <w:lang w:val="el" w:eastAsia="el"/>
              </w:rPr>
              <w:t xml:space="preserve"> και </w:t>
            </w:r>
            <w:r>
              <w:rPr>
                <w:b w:val="0"/>
                <w:bCs w:val="0"/>
                <w:i/>
                <w:iCs/>
                <w:smallCaps w:val="0"/>
                <w:color w:val="000000"/>
                <w:lang w:val="el" w:eastAsia="el"/>
              </w:rPr>
              <w:t>των</w:t>
            </w:r>
            <w:r>
              <w:rPr>
                <w:b w:val="0"/>
                <w:bCs w:val="0"/>
                <w:i w:val="0"/>
                <w:iCs w:val="0"/>
                <w:smallCaps w:val="0"/>
                <w:color w:val="000000"/>
                <w:lang w:val="el" w:eastAsia="el"/>
              </w:rPr>
              <w:t xml:space="preserve">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προϊόντων π.δ.κ.α. ψαριών ή </w:t>
            </w:r>
            <w:r>
              <w:rPr>
                <w:b w:val="0"/>
                <w:bCs w:val="0"/>
                <w:i/>
                <w:iCs/>
                <w:smallCaps w:val="0"/>
                <w:color w:val="000000"/>
                <w:lang w:val="el" w:eastAsia="el"/>
              </w:rPr>
              <w:t>καρκινοειδών,</w:t>
            </w:r>
            <w:r>
              <w:rPr>
                <w:b w:val="0"/>
                <w:bCs w:val="0"/>
                <w:i w:val="0"/>
                <w:iCs w:val="0"/>
                <w:smallCaps w:val="0"/>
                <w:color w:val="000000"/>
                <w:lang w:val="el" w:eastAsia="el"/>
              </w:rPr>
              <w:t xml:space="preserve"> μαλακίων η </w:t>
            </w:r>
            <w:r>
              <w:rPr>
                <w:b w:val="0"/>
                <w:bCs w:val="0"/>
                <w:i/>
                <w:iCs/>
                <w:smallCaps w:val="0"/>
                <w:color w:val="000000"/>
                <w:lang w:val="el" w:eastAsia="el"/>
              </w:rPr>
              <w:t xml:space="preserve">άλλων </w:t>
            </w:r>
            <w:r>
              <w:rPr>
                <w:b w:val="0"/>
                <w:bCs w:val="0"/>
                <w:i w:val="0"/>
                <w:iCs w:val="0"/>
                <w:smallCaps w:val="0"/>
                <w:color w:val="000000"/>
                <w:lang w:val="el" w:eastAsia="el"/>
              </w:rPr>
              <w:t>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w:t>
            </w:r>
            <w:r>
              <w:rPr>
                <w:b w:val="0"/>
                <w:bCs w:val="0"/>
                <w:i/>
                <w:iCs/>
                <w:smallCaps w:val="0"/>
                <w:color w:val="000000"/>
                <w:lang w:val="el" w:eastAsia="el"/>
              </w:rPr>
              <w:t>εμπόριο</w:t>
            </w:r>
            <w:r>
              <w:rPr>
                <w:b w:val="0"/>
                <w:bCs w:val="0"/>
                <w:i w:val="0"/>
                <w:iCs w:val="0"/>
                <w:smallCaps w:val="0"/>
                <w:color w:val="000000"/>
                <w:lang w:val="el" w:eastAsia="el"/>
              </w:rPr>
              <w:t xml:space="preserve">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μαργαριταριών από </w:t>
            </w:r>
            <w:r>
              <w:rPr>
                <w:b w:val="0"/>
                <w:bCs w:val="0"/>
                <w:i/>
                <w:iCs/>
                <w:smallCaps w:val="0"/>
                <w:color w:val="000000"/>
                <w:lang w:val="el" w:eastAsia="el"/>
              </w:rPr>
              <w:t>καλλιέργεια,</w:t>
            </w:r>
            <w:r>
              <w:rPr>
                <w:b w:val="0"/>
                <w:bCs w:val="0"/>
                <w:i w:val="0"/>
                <w:iCs w:val="0"/>
                <w:smallCaps w:val="0"/>
                <w:color w:val="000000"/>
                <w:lang w:val="el" w:eastAsia="el"/>
              </w:rPr>
              <w:t xml:space="preserve">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w:t>
            </w:r>
            <w:r>
              <w:rPr>
                <w:b w:val="0"/>
                <w:bCs w:val="0"/>
                <w:i/>
                <w:iCs/>
                <w:smallCaps w:val="0"/>
                <w:color w:val="000000"/>
                <w:lang w:val="el" w:eastAsia="el"/>
              </w:rPr>
              <w:t>εμπόριο</w:t>
            </w:r>
            <w:r>
              <w:rPr>
                <w:b w:val="0"/>
                <w:bCs w:val="0"/>
                <w:i w:val="0"/>
                <w:iCs w:val="0"/>
                <w:smallCaps w:val="0"/>
                <w:color w:val="000000"/>
                <w:lang w:val="el" w:eastAsia="el"/>
              </w:rPr>
              <w:t xml:space="preserve"> κοραλλιών και </w:t>
            </w:r>
            <w:r>
              <w:rPr>
                <w:b w:val="0"/>
                <w:bCs w:val="0"/>
                <w:i/>
                <w:iCs/>
                <w:smallCaps w:val="0"/>
                <w:color w:val="000000"/>
                <w:lang w:val="el" w:eastAsia="el"/>
              </w:rPr>
              <w:t>παρόμοιων</w:t>
            </w:r>
            <w:r>
              <w:rPr>
                <w:b w:val="0"/>
                <w:bCs w:val="0"/>
                <w:i w:val="0"/>
                <w:iCs w:val="0"/>
                <w:smallCaps w:val="0"/>
                <w:color w:val="000000"/>
                <w:lang w:val="el" w:eastAsia="el"/>
              </w:rPr>
              <w:t xml:space="preserve">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στην παρ.2 του άρθρου 4.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χώροι </w:t>
            </w:r>
            <w:r>
              <w:rPr>
                <w:b w:val="0"/>
                <w:bCs w:val="0"/>
                <w:i/>
                <w:iCs/>
                <w:smallCaps w:val="0"/>
                <w:color w:val="000000"/>
                <w:lang w:val="el" w:eastAsia="el"/>
              </w:rPr>
              <w:t>κατασκήνωσης,</w:t>
            </w:r>
            <w:r>
              <w:rPr>
                <w:b w:val="0"/>
                <w:bCs w:val="0"/>
                <w:i w:val="0"/>
                <w:iCs w:val="0"/>
                <w:smallCaps w:val="0"/>
                <w:color w:val="000000"/>
                <w:lang w:val="el" w:eastAsia="el"/>
              </w:rPr>
              <w:t xml:space="preserve">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υπηρεσιών εστιατορίων και </w:t>
            </w:r>
            <w:r>
              <w:rPr>
                <w:b w:val="0"/>
                <w:bCs w:val="0"/>
                <w:i/>
                <w:iCs/>
                <w:smallCaps w:val="0"/>
                <w:color w:val="000000"/>
                <w:lang w:val="el" w:eastAsia="el"/>
              </w:rPr>
              <w:t>κινητών</w:t>
            </w:r>
            <w:r>
              <w:rPr>
                <w:b w:val="0"/>
                <w:bCs w:val="0"/>
                <w:i w:val="0"/>
                <w:iCs w:val="0"/>
                <w:smallCaps w:val="0"/>
                <w:color w:val="000000"/>
                <w:lang w:val="el" w:eastAsia="el"/>
              </w:rPr>
              <w:t xml:space="preserve">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υπηρεσίες εστίασης, με εξαίρεση τις Υπηρεσίες γευμάτων που παρέχονται από </w:t>
            </w:r>
            <w:r>
              <w:rPr>
                <w:b w:val="0"/>
                <w:bCs w:val="0"/>
                <w:i/>
                <w:iCs/>
                <w:smallCaps w:val="0"/>
                <w:color w:val="000000"/>
                <w:lang w:val="el" w:eastAsia="el"/>
              </w:rPr>
              <w:t>στρατιωτικές</w:t>
            </w:r>
            <w:r>
              <w:rPr>
                <w:b w:val="0"/>
                <w:bCs w:val="0"/>
                <w:i w:val="0"/>
                <w:iCs w:val="0"/>
                <w:smallCaps w:val="0"/>
                <w:color w:val="000000"/>
                <w:lang w:val="el" w:eastAsia="el"/>
              </w:rPr>
              <w:t xml:space="preserve">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και χρηματοδοτικής μίσθωσης </w:t>
            </w:r>
            <w:r>
              <w:rPr>
                <w:b w:val="0"/>
                <w:bCs w:val="0"/>
                <w:i/>
                <w:iCs/>
                <w:smallCaps w:val="0"/>
                <w:color w:val="000000"/>
                <w:lang w:val="el" w:eastAsia="el"/>
              </w:rPr>
              <w:t>μοτοσικλετών</w:t>
            </w:r>
            <w:r>
              <w:rPr>
                <w:b w:val="0"/>
                <w:bCs w:val="0"/>
                <w:i w:val="0"/>
                <w:iCs w:val="0"/>
                <w:smallCaps w:val="0"/>
                <w:color w:val="000000"/>
                <w:lang w:val="el" w:eastAsia="el"/>
              </w:rPr>
              <w:t xml:space="preserve">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εξοπλισμού </w:t>
            </w:r>
            <w:r>
              <w:rPr>
                <w:b w:val="0"/>
                <w:bCs w:val="0"/>
                <w:i/>
                <w:iCs/>
                <w:smallCaps w:val="0"/>
                <w:color w:val="000000"/>
                <w:lang w:val="el" w:eastAsia="el"/>
              </w:rPr>
              <w:t>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συνεδριακά </w:t>
            </w:r>
            <w:r>
              <w:rPr>
                <w:b w:val="0"/>
                <w:bCs w:val="0"/>
                <w:i/>
                <w:iCs/>
                <w:smallCaps w:val="0"/>
                <w:color w:val="000000"/>
                <w:lang w:val="el" w:eastAsia="el"/>
              </w:rPr>
              <w:t>κέντρα</w:t>
            </w:r>
            <w:r>
              <w:rPr>
                <w:b w:val="0"/>
                <w:bCs w:val="0"/>
                <w:i w:val="0"/>
                <w:iCs w:val="0"/>
                <w:smallCaps w:val="0"/>
                <w:color w:val="000000"/>
                <w:lang w:val="el" w:eastAsia="el"/>
              </w:rPr>
              <w:t xml:space="preserve">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εισιτήρια εκδηλώσεων, υπηρεσίες ψυχαγωγίας και αναψυχής και Αλλες 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Οργάνωση συνεδρίων και εμπορικών </w:t>
            </w:r>
            <w:r>
              <w:rPr>
                <w:b w:val="0"/>
                <w:bCs w:val="0"/>
                <w:i/>
                <w:iCs/>
                <w:smallCaps w:val="0"/>
                <w:color w:val="000000"/>
                <w:lang w:val="el" w:eastAsia="el"/>
              </w:rPr>
              <w:t>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σχολών </w:t>
            </w:r>
            <w:r>
              <w:rPr>
                <w:b w:val="0"/>
                <w:bCs w:val="0"/>
                <w:i/>
                <w:iCs/>
                <w:smallCaps w:val="0"/>
                <w:color w:val="000000"/>
                <w:lang w:val="el" w:eastAsia="el"/>
              </w:rPr>
              <w:t>ερασιτεχνών</w:t>
            </w:r>
            <w:r>
              <w:rPr>
                <w:b w:val="0"/>
                <w:bCs w:val="0"/>
                <w:i w:val="0"/>
                <w:iCs w:val="0"/>
                <w:smallCaps w:val="0"/>
                <w:color w:val="000000"/>
                <w:lang w:val="el" w:eastAsia="el"/>
              </w:rPr>
              <w:t xml:space="preserve">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κέντρων</w:t>
            </w:r>
            <w:r>
              <w:rPr>
                <w:b w:val="0"/>
                <w:bCs w:val="0"/>
                <w:i w:val="0"/>
                <w:iCs w:val="0"/>
                <w:smallCaps w:val="0"/>
                <w:color w:val="000000"/>
                <w:lang w:val="el" w:eastAsia="el"/>
              </w:rPr>
              <w:t xml:space="preserve"> ημερήσιας φροντίδας </w:t>
            </w:r>
            <w:r>
              <w:rPr>
                <w:b w:val="0"/>
                <w:bCs w:val="0"/>
                <w:i/>
                <w:iCs/>
                <w:smallCaps w:val="0"/>
                <w:color w:val="000000"/>
                <w:lang w:val="el" w:eastAsia="el"/>
              </w:rPr>
              <w:t>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λειτουργία </w:t>
            </w:r>
            <w:r>
              <w:rPr>
                <w:b w:val="0"/>
                <w:bCs w:val="0"/>
                <w:i/>
                <w:iCs/>
                <w:smallCaps w:val="0"/>
                <w:color w:val="000000"/>
                <w:lang w:val="el" w:eastAsia="el"/>
              </w:rPr>
              <w:t>ιστορικών</w:t>
            </w:r>
            <w:r>
              <w:rPr>
                <w:b w:val="0"/>
                <w:bCs w:val="0"/>
                <w:i w:val="0"/>
                <w:iCs w:val="0"/>
                <w:smallCaps w:val="0"/>
                <w:color w:val="000000"/>
                <w:lang w:val="el" w:eastAsia="el"/>
              </w:rPr>
              <w:t xml:space="preserve"> χώρων και κτιρίων και παρόμοιων πόλων έλξης </w:t>
            </w:r>
            <w:r>
              <w:rPr>
                <w:b w:val="0"/>
                <w:bCs w:val="0"/>
                <w:i/>
                <w:iCs/>
                <w:smallCaps w:val="0"/>
                <w:color w:val="000000"/>
                <w:lang w:val="el" w:eastAsia="el"/>
              </w:rPr>
              <w:t>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Τυχερά παιχνίδια και στοιχήματα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w:t>
            </w:r>
            <w:r>
              <w:rPr>
                <w:b w:val="0"/>
                <w:bCs w:val="0"/>
                <w:i/>
                <w:iCs/>
                <w:smallCaps w:val="0"/>
                <w:color w:val="000000"/>
                <w:lang w:val="el" w:eastAsia="el"/>
              </w:rPr>
              <w:t>τυχερών</w:t>
            </w:r>
            <w:r>
              <w:rPr>
                <w:b w:val="0"/>
                <w:bCs w:val="0"/>
                <w:i w:val="0"/>
                <w:iCs w:val="0"/>
                <w:smallCaps w:val="0"/>
                <w:color w:val="000000"/>
                <w:lang w:val="el" w:eastAsia="el"/>
              </w:rPr>
              <w:t xml:space="preserve">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που</w:t>
            </w:r>
            <w:r>
              <w:rPr>
                <w:b w:val="0"/>
                <w:bCs w:val="0"/>
                <w:i w:val="0"/>
                <w:iCs w:val="0"/>
                <w:smallCaps w:val="0"/>
                <w:color w:val="000000"/>
                <w:lang w:val="el" w:eastAsia="el"/>
              </w:rPr>
              <w:t xml:space="preserve">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σχετικές με τη φυσική ευεξία, εξαιρουμένων </w:t>
            </w:r>
            <w:r>
              <w:rPr>
                <w:b w:val="0"/>
                <w:bCs w:val="0"/>
                <w:i/>
                <w:iCs/>
                <w:smallCaps w:val="0"/>
                <w:color w:val="000000"/>
                <w:lang w:val="el" w:eastAsia="el"/>
              </w:rPr>
              <w:t>των</w:t>
            </w:r>
            <w:r>
              <w:rPr>
                <w:b w:val="0"/>
                <w:bCs w:val="0"/>
                <w:i w:val="0"/>
                <w:iCs w:val="0"/>
                <w:smallCaps w:val="0"/>
                <w:color w:val="000000"/>
                <w:lang w:val="el" w:eastAsia="el"/>
              </w:rPr>
              <w:t xml:space="preserve">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στολισμού </w:t>
            </w:r>
            <w:r>
              <w:rPr>
                <w:b w:val="0"/>
                <w:bCs w:val="0"/>
                <w:i/>
                <w:iCs/>
                <w:smallCaps w:val="0"/>
                <w:color w:val="000000"/>
                <w:lang w:val="el" w:eastAsia="el"/>
              </w:rPr>
              <w:t>εκκλησιών,</w:t>
            </w:r>
            <w:r>
              <w:rPr>
                <w:b w:val="0"/>
                <w:bCs w:val="0"/>
                <w:i w:val="0"/>
                <w:iCs w:val="0"/>
                <w:smallCaps w:val="0"/>
                <w:color w:val="000000"/>
                <w:lang w:val="el" w:eastAsia="el"/>
              </w:rPr>
              <w:t xml:space="preserve"> αιθουσών κλπ (για γάμους, βαπτίσεις, κηδείες και </w:t>
            </w:r>
            <w:r>
              <w:rPr>
                <w:b w:val="0"/>
                <w:bCs w:val="0"/>
                <w:i/>
                <w:iCs/>
                <w:smallCaps w:val="0"/>
                <w:color w:val="000000"/>
                <w:lang w:val="el" w:eastAsia="el"/>
              </w:rPr>
              <w:t>Αλλες</w:t>
            </w:r>
            <w:r>
              <w:rPr>
                <w:b w:val="0"/>
                <w:bCs w:val="0"/>
                <w:i w:val="0"/>
                <w:iCs w:val="0"/>
                <w:smallCaps w:val="0"/>
                <w:color w:val="000000"/>
                <w:lang w:val="el" w:eastAsia="el"/>
              </w:rPr>
              <w:t xml:space="preserve">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τρυπήματος δέρματος </w:t>
            </w:r>
            <w:r>
              <w:rPr>
                <w:b w:val="0"/>
                <w:bCs w:val="0"/>
                <w:i/>
                <w:iCs/>
                <w:smallCaps w:val="0"/>
                <w:color w:val="000000"/>
                <w:lang w:val="el" w:eastAsia="el"/>
              </w:rPr>
              <w:t>του</w:t>
            </w:r>
            <w:r>
              <w:rPr>
                <w:b w:val="0"/>
                <w:bCs w:val="0"/>
                <w:i w:val="0"/>
                <w:iCs w:val="0"/>
                <w:smallCaps w:val="0"/>
                <w:color w:val="000000"/>
                <w:lang w:val="el" w:eastAsia="el"/>
              </w:rPr>
              <w:t xml:space="preserve"> σώματος (piercing)</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Ιανουαρίου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1"/>
        <w:gridCol w:w="4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ΑΠΟΣΤΟΛΟΣ 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bl>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hyperlink" Target="http://www.espa" TargetMode="External" /><Relationship Id="rId7" Type="http://schemas.openxmlformats.org/officeDocument/2006/relationships/hyperlink" Target="https://www.esp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