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ΕΛΛΗΝΙΚΗ</w:t>
      </w:r>
    </w:p>
    <w:p>
      <w:pPr>
        <w:pStyle w:val="PreambelText"/>
        <w:spacing w:before="240" w:after="240"/>
        <w:rPr>
          <w:lang w:val="el" w:eastAsia="el"/>
        </w:rPr>
      </w:pPr>
      <w:r>
        <w:rPr>
          <w:b/>
          <w:bCs/>
          <w:lang w:val="el" w:eastAsia="el"/>
        </w:rPr>
        <w:t>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Δ/ΝΣΗ ΔΙΕΘΝΩΝ ΟΙΚΟΝΟΜΙΚΩΝ ΣΧΕΣΕΩΝ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ΔΙΕΘΝΟΥΣ ΔΙΟΙΚΗΤΙΚΗΣ ΣΥΝΕΡΓΑΣΙΑΣ</w:t>
      </w:r>
    </w:p>
    <w:p>
      <w:pPr>
        <w:spacing w:before="240" w:after="240"/>
        <w:rPr>
          <w:lang w:val="el" w:eastAsia="el"/>
        </w:rPr>
      </w:pPr>
      <w:r>
        <w:rPr>
          <w:b/>
          <w:bCs/>
          <w:lang w:val="el" w:eastAsia="el"/>
        </w:rPr>
        <w:t xml:space="preserve">Τηλέφωνα: </w:t>
      </w:r>
      <w:r>
        <w:rPr>
          <w:lang w:val="el" w:eastAsia="el"/>
        </w:rPr>
        <w:t>210 3375865, 2103375849, 2103375869</w:t>
      </w:r>
    </w:p>
    <w:p>
      <w:pPr>
        <w:spacing w:before="240" w:after="240"/>
        <w:rPr>
          <w:lang w:val="el" w:eastAsia="el"/>
        </w:rPr>
      </w:pPr>
      <w:r>
        <w:rPr>
          <w:b/>
          <w:bCs/>
          <w:lang w:val="el" w:eastAsia="el"/>
        </w:rPr>
        <w:t>Ηλ. ταχ.:</w:t>
      </w:r>
      <w:hyperlink r:id="rId4" w:history="1">
        <w:r>
          <w:rPr>
            <w:rStyle w:val="Hyperlink"/>
            <w:b/>
            <w:bCs/>
            <w:color w:val="0000EE"/>
            <w:u w:color="0000EE"/>
            <w:lang w:val="el" w:eastAsia="el"/>
          </w:rPr>
          <w:t>dos.c@ aade.gr</w:t>
        </w:r>
      </w:hyperlink>
    </w:p>
    <w:p>
      <w:pPr>
        <w:spacing w:before="240" w:after="240"/>
        <w:rPr>
          <w:lang w:val="el" w:eastAsia="el"/>
        </w:rPr>
      </w:pPr>
      <w:r>
        <w:rPr>
          <w:b/>
          <w:bCs/>
          <w:lang w:val="el" w:eastAsia="el"/>
        </w:rPr>
        <w:t xml:space="preserve">2. </w:t>
      </w:r>
      <w:r>
        <w:rPr>
          <w:b/>
          <w:bCs/>
          <w:lang w:val="el" w:eastAsia="el"/>
        </w:rPr>
        <w:t>ΓΕΝΙΚΗ ΔΙΕΥΘΥΝΣΗ ΦΟΡΟΛΟΓΙΚΗΣ ΔΙΟΙΚΗΣΗΣ</w:t>
      </w:r>
    </w:p>
    <w:p>
      <w:pPr>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E΄</w:t>
      </w:r>
    </w:p>
    <w:p>
      <w:pPr>
        <w:spacing w:before="240" w:after="240"/>
        <w:rPr>
          <w:lang w:val="el" w:eastAsia="el"/>
        </w:rPr>
      </w:pPr>
      <w:r>
        <w:rPr>
          <w:b/>
          <w:bCs/>
          <w:lang w:val="el" w:eastAsia="el"/>
        </w:rPr>
        <w:t xml:space="preserve">Τηλέφωνο: </w:t>
      </w:r>
      <w:r>
        <w:rPr>
          <w:b/>
          <w:bCs/>
          <w:lang w:val="el" w:eastAsia="el"/>
        </w:rPr>
        <w:t>210 3224239, 210 3375623</w:t>
      </w:r>
    </w:p>
    <w:p>
      <w:pPr>
        <w:spacing w:before="240" w:after="240"/>
        <w:rPr>
          <w:lang w:val="el" w:eastAsia="el"/>
        </w:rPr>
      </w:pPr>
      <w:r>
        <w:rPr>
          <w:b/>
          <w:bCs/>
          <w:lang w:val="el" w:eastAsia="el"/>
        </w:rPr>
        <w:t>Ηλ. ταχ.: d</w:t>
      </w:r>
      <w:r>
        <w:rPr>
          <w:b/>
          <w:bCs/>
          <w:u w:val="single"/>
          <w:lang w:val="el" w:eastAsia="el"/>
        </w:rPr>
        <w:t>.eleg05@aade.gr</w:t>
      </w:r>
    </w:p>
    <w:p>
      <w:pPr>
        <w:spacing w:before="240" w:after="240"/>
        <w:rPr>
          <w:lang w:val="el" w:eastAsia="el"/>
        </w:rPr>
      </w:pPr>
      <w:r>
        <w:rPr>
          <w:b/>
          <w:bCs/>
          <w:lang w:val="el" w:eastAsia="el"/>
        </w:rPr>
        <w:t xml:space="preserve">3. </w:t>
      </w:r>
      <w:r>
        <w:rPr>
          <w:b/>
          <w:bCs/>
          <w:lang w:val="el" w:eastAsia="el"/>
        </w:rPr>
        <w:t>ΓΕΝΙΚΗ ΔΙΕΥΘΥΝΣΗ ΗΛΕΚΤΡΟΝΙΚΗΣ ΗΣ ΔΙΑΚΥΒΕΡΝΗΣΗΣ</w:t>
      </w:r>
    </w:p>
    <w:p>
      <w:pPr>
        <w:spacing w:before="240" w:after="240"/>
        <w:rPr>
          <w:lang w:val="el" w:eastAsia="el"/>
        </w:rPr>
      </w:pPr>
      <w:r>
        <w:rPr>
          <w:b/>
          <w:bCs/>
          <w:lang w:val="el" w:eastAsia="el"/>
        </w:rPr>
        <w:t>ΔΙΕΥΘΥΝΣΗ ΥΠΗΡΕΣΙΩΝ ΔΕΔΟΜΕΝΩΝ</w:t>
      </w:r>
    </w:p>
    <w:p>
      <w:pPr>
        <w:pStyle w:val="Heading1"/>
        <w:spacing w:before="240" w:after="240"/>
        <w:rPr>
          <w:lang w:val="el" w:eastAsia="el"/>
        </w:rPr>
      </w:pPr>
      <w:r>
        <w:rPr>
          <w:b/>
          <w:bCs/>
          <w:lang w:val="el" w:eastAsia="el"/>
        </w:rPr>
        <w:t>ΤΜΗΜΑ Ε΄</w:t>
      </w:r>
      <w:r>
        <w:rPr>
          <w:b/>
          <w:bCs/>
          <w:lang w:val="el" w:eastAsia="el"/>
        </w:rPr>
        <w:t xml:space="preserve"> </w:t>
      </w:r>
    </w:p>
    <w:p>
      <w:pPr>
        <w:pStyle w:val="Heading1"/>
        <w:spacing w:before="240" w:after="240"/>
        <w:rPr>
          <w:lang w:val="el" w:eastAsia="el"/>
        </w:rPr>
      </w:pPr>
      <w:r>
        <w:rPr>
          <w:b/>
          <w:bCs/>
          <w:lang w:val="el" w:eastAsia="el"/>
        </w:rPr>
        <w:t xml:space="preserve">Τηλέφωνο: </w:t>
      </w:r>
      <w:r>
        <w:rPr>
          <w:b/>
          <w:bCs/>
          <w:lang w:val="el" w:eastAsia="el"/>
        </w:rPr>
        <w:t>2104802264, 2104802748</w:t>
      </w:r>
    </w:p>
    <w:p>
      <w:pPr>
        <w:spacing w:before="240" w:after="240"/>
        <w:rPr>
          <w:lang w:val="el" w:eastAsia="el"/>
        </w:rPr>
      </w:pPr>
      <w:r>
        <w:rPr>
          <w:b/>
          <w:bCs/>
          <w:lang w:val="el" w:eastAsia="el"/>
        </w:rPr>
        <w:t xml:space="preserve">Ηλ. ταχ.: </w:t>
      </w:r>
      <w:r>
        <w:rPr>
          <w:b/>
          <w:bCs/>
          <w:u w:val="single"/>
          <w:lang w:val="el" w:eastAsia="el"/>
        </w:rPr>
        <w:t>dypided.5@ aade.gr</w:t>
      </w:r>
    </w:p>
    <w:p>
      <w:pPr>
        <w:spacing w:before="240" w:after="240"/>
        <w:rPr>
          <w:lang w:val="el" w:eastAsia="el"/>
        </w:rPr>
      </w:pPr>
      <w:r>
        <w:rPr>
          <w:b/>
          <w:bCs/>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Θέμα: «Χρόνος και τρόπος υποβολής των πληροφοριών και παράταση της προθεσμίας έναρξης υποβολής αυτών για την εφαρμογή των διατάξεων των άρθρων 49-57 του ν. 4714/2020 (Α΄148), με τις οποίες ενσωματώθηκε η Οδηγία ΕΕ/2018/822 (ΟΔΣ-DAC6) αναφορικά με την αυτόματη ανταλλαγή πληροφοριών των δηλωτέων διασυνοριακών ρυθμίσεων».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διατάξεις του άρθρου 5, παρ. 4, 5 και 8 του ν. 4170/2013 (Α΄163)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Ανεξάρτητης Αρχής Δημοσίων Εσόδων (ΑΑΔΕ), για τον ορισμό τμήματος ή τμημάτων διασύνδεσης, σε συνδυασμό με τη διάταξη του άρθρου 4, παρ. 1 και 4 και του άρθρου 9ΑΒ, παρ. 19, περίπτ. β’ του ίδιου νόμου, όπως ο νόμος αυτός τροποποιήθηκε, συμπληρώθηκε και ισχύει μετά και το νόμο 4714/2020.</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4, 5, 9, 9ΑΒ, 20, 21 καθώς και του Κεφαλαίου Η΄ με το Παράρτημα IV του ν. 4170/2013, όπως τροποποιηθήκαν με τα άρθρα 49-57 του ν. 4714/2020, με τον οποίο ενσωματώθηκε η Οδηγία ΕΕ/2018/822 και ιδίως της παρ. 19 περ. β του άρθρου 9ΑΒ του ιδίου νόμου, σύμφωνα με την οποία «με Απόφαση του Διοικητή της ΑΑΔΕ μπορεί να εξειδικεύονται θέματα σχετικά με τη διαδικασία εφαρμογής των υποχρεώσεων που επιβάλλονται στο πλαίσιο της υποχρεωτικής αυτόματης ανταλλαγής πληροφοριών για δηλωτέες διασυνοριακές ρυθμίσεις και να ρυθμίζεται κάθε ειδικότερο θέμα».</w:t>
      </w:r>
    </w:p>
    <w:p>
      <w:pPr>
        <w:pStyle w:val="StructureList1"/>
        <w:spacing w:before="120" w:after="0"/>
        <w:rPr>
          <w:lang w:val="el" w:eastAsia="el"/>
        </w:rPr>
      </w:pPr>
      <w:r>
        <w:rPr>
          <w:b/>
          <w:bCs/>
          <w:lang w:val="el" w:eastAsia="el"/>
        </w:rPr>
        <w:t>γ)</w:t>
      </w:r>
      <w:r>
        <w:rPr>
          <w:b/>
          <w:bCs/>
          <w:lang w:val="en" w:eastAsia="en"/>
        </w:rPr>
        <w:tab/>
      </w:r>
      <w:r>
        <w:rPr>
          <w:b/>
          <w:bCs/>
          <w:lang w:val="el" w:eastAsia="el"/>
        </w:rPr>
        <w:t>Την υπ. Αρίθμ Α 1009/2021 Απόφαση του Διοικητή της ΑΑΔΕ για τον καθορισμό των τμημάτων διασύνδεσης για την εφαρμογή των διατάξεων των άρθρων 49-57 του ν. 4714/2020 (Α΄148), με τις οποίες ενσωματώθηκε η Οδηγία ΕΕ/2018/822 αναφορικά με την αυτόματη ανταλλαγή πληροφοριών στον τομέα της φορολογίας σχετικά με τις δηλωτέες διασυνοριακές ρυθμίσεις.</w:t>
      </w:r>
    </w:p>
    <w:p>
      <w:pPr>
        <w:pStyle w:val="StructureList1"/>
        <w:spacing w:before="120" w:after="0"/>
        <w:rPr>
          <w:lang w:val="el" w:eastAsia="el"/>
        </w:rPr>
      </w:pPr>
      <w:r>
        <w:rPr>
          <w:b/>
          <w:bCs/>
          <w:lang w:val="el" w:eastAsia="el"/>
        </w:rPr>
        <w:t>δ)</w:t>
      </w:r>
      <w:r>
        <w:rPr>
          <w:b/>
          <w:bCs/>
          <w:lang w:val="en" w:eastAsia="en"/>
        </w:rPr>
        <w:tab/>
      </w:r>
      <w:r>
        <w:rPr>
          <w:b/>
          <w:bCs/>
          <w:lang w:val="el" w:eastAsia="el"/>
        </w:rPr>
        <w:t>τις διατάξεις του Κεφαλαίου Α’ «Σύσταση Ανεξάρτητης Αρχής Δημοσίων Εσόδων» του ν.4389/2016 ( ΦΕΚ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Την αριθ. </w:t>
      </w:r>
      <w:r>
        <w:rPr>
          <w:b/>
          <w:bCs/>
          <w:lang w:val="el" w:eastAsia="el"/>
        </w:rPr>
        <w:t xml:space="preserve">Δ.ΟΡΓ. Α 1125859 ΕΞ 2020/23-10-2020 </w:t>
      </w:r>
      <w:r>
        <w:rPr>
          <w:b/>
          <w:bCs/>
          <w:lang w:val="el" w:eastAsia="el"/>
        </w:rPr>
        <w:t xml:space="preserve">(Β΄ </w:t>
      </w:r>
      <w:r>
        <w:rPr>
          <w:b/>
          <w:bCs/>
          <w:lang w:val="el" w:eastAsia="el"/>
        </w:rPr>
        <w:t>4738</w:t>
      </w:r>
      <w:r>
        <w:rPr>
          <w:b/>
          <w:bCs/>
          <w:lang w:val="el" w:eastAsia="el"/>
        </w:rPr>
        <w:t>) Απόφαση του Διοικητή της ΑΑΔΕ «Οργανισμός της Ανεξάρτητης Αρχής Δημοσίων Εσόδων (Α.Α.Δ.Ε.)».</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αριθ.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όπως ισχύουν, την αριθ. 39/3/30.11.2017 (Υ.Ο.Δ.Δ. 689) απόφαση του Συμβουλίου Διοίκησης της ΑΑΔΕ «Ανανέωση της θητείας του Διοικητή της Ανεξάρτητης Αρχής Δημοσίων Εσόδων» και την αριθμ. 5294ΕΞ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η). </w:t>
      </w:r>
      <w:r>
        <w:rPr>
          <w:b/>
          <w:bCs/>
          <w:lang w:val="el" w:eastAsia="el"/>
        </w:rPr>
        <w:t>Tην από 25.1.2021 εισήγηση της Δ/νσης Διεθνών Οικονομικών Σχέσεων της ΑΑΔΕ ως αρμόδιας αρχής κατά το άρθρο 5 παρ. 1 και 5 του ν. 4170/2013 (Α’ 163).</w:t>
      </w:r>
    </w:p>
    <w:p>
      <w:pPr>
        <w:pStyle w:val="StructureList1"/>
        <w:spacing w:before="120" w:after="0"/>
        <w:rPr>
          <w:lang w:val="el" w:eastAsia="el"/>
        </w:rPr>
      </w:pPr>
      <w:r>
        <w:rPr>
          <w:b/>
          <w:bCs/>
          <w:lang w:val="el" w:eastAsia="el"/>
        </w:rPr>
        <w:t>θ)</w:t>
      </w:r>
      <w:r>
        <w:rPr>
          <w:b/>
          <w:bCs/>
          <w:lang w:val="en" w:eastAsia="en"/>
        </w:rPr>
        <w:tab/>
      </w:r>
      <w:r>
        <w:rPr>
          <w:b/>
          <w:bCs/>
          <w:lang w:val="el" w:eastAsia="el"/>
        </w:rPr>
        <w:t>Την ανάγκη παράτασης της ημερομηνίας έναρξης υποβολής των πληροφοριών προκειμένου να εφαρμοστεί ομαλά και απρόσκοπτα το πλαίσιο της αυτόματης ανταλλαγής πληροφοριών σχετικά με τις δηλωτέες διασυνοριακές ρυθμίσεις.</w:t>
      </w:r>
    </w:p>
    <w:p>
      <w:pPr>
        <w:pStyle w:val="StructureList1"/>
        <w:spacing w:before="120" w:after="0"/>
        <w:rPr>
          <w:lang w:val="el" w:eastAsia="el"/>
        </w:rPr>
      </w:pPr>
      <w:r>
        <w:rPr>
          <w:b/>
          <w:bCs/>
          <w:lang w:val="el" w:eastAsia="el"/>
        </w:rPr>
        <w:t>ι)</w:t>
      </w:r>
      <w:r>
        <w:rPr>
          <w:b/>
          <w:bCs/>
          <w:lang w:val="en" w:eastAsia="en"/>
        </w:rPr>
        <w:tab/>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Χρόνος και τρόπος υποβολής των δηλωτέων διασυνοριακών ρυθμίσεων-Παράταση της προθεσμίαςέναρξης της υποβολής</w:t>
      </w:r>
    </w:p>
    <w:p>
      <w:pPr>
        <w:pStyle w:val="MainText"/>
        <w:spacing w:before="120" w:after="0"/>
        <w:rPr>
          <w:lang w:val="el" w:eastAsia="el"/>
        </w:rPr>
      </w:pPr>
      <w:r>
        <w:rPr>
          <w:b/>
          <w:bCs/>
          <w:lang w:val="el" w:eastAsia="el"/>
        </w:rPr>
        <w:t>1.</w:t>
      </w:r>
      <w:r>
        <w:rPr>
          <w:b/>
          <w:bCs/>
          <w:lang w:val="el" w:eastAsia="el"/>
        </w:rPr>
        <w:t xml:space="preserve"> Οι ενδιάμεσοι ή τα ενδιαφερόμενα πρόσωπα υποχρεούνται να υποβάλλουν ηλεκτρονικά τις πληροφορίες που αφορούν τις δηλωτέες διασυνοριακές ρυθμίσεις σύμφωνα με τα οριζόμενα στις διατάξεις του άρθρου 9ΑΒ του ν.4170/2013 και ειδικότερα, ως ακολούθως:</w:t>
      </w:r>
    </w:p>
    <w:p>
      <w:pPr>
        <w:spacing w:before="240" w:after="240"/>
        <w:rPr>
          <w:lang w:val="el" w:eastAsia="el"/>
        </w:rPr>
      </w:pPr>
      <w:r>
        <w:rPr>
          <w:b/>
          <w:bCs/>
          <w:lang w:val="el" w:eastAsia="el"/>
        </w:rPr>
        <w:t>(i) Εντός προθεσμίας τριάντα ημερολογιακών ημερών, ο υπολογισμός της οποίας εκκινεί σύμφωνα με τα οριζόμενα στις παρ. 1 και 8. Για τις ρυθμίσεις που αναφέρονται στην παράγραφο 18 και αφορούν το διάστημα μεταξύ 1</w:t>
      </w:r>
      <w:r>
        <w:rPr>
          <w:b/>
          <w:bCs/>
          <w:sz w:val="30"/>
          <w:szCs w:val="30"/>
          <w:vertAlign w:val="superscript"/>
          <w:lang w:val="el" w:eastAsia="el"/>
        </w:rPr>
        <w:t>ης</w:t>
      </w:r>
      <w:r>
        <w:rPr>
          <w:b/>
          <w:bCs/>
          <w:lang w:val="el" w:eastAsia="el"/>
        </w:rPr>
        <w:t xml:space="preserve"> Ιουλίου 2020 και της 31</w:t>
      </w:r>
      <w:r>
        <w:rPr>
          <w:b/>
          <w:bCs/>
          <w:sz w:val="30"/>
          <w:szCs w:val="30"/>
          <w:vertAlign w:val="superscript"/>
          <w:lang w:val="el" w:eastAsia="el"/>
        </w:rPr>
        <w:t>ης</w:t>
      </w:r>
      <w:r>
        <w:rPr>
          <w:b/>
          <w:bCs/>
          <w:lang w:val="el" w:eastAsia="el"/>
        </w:rPr>
        <w:t xml:space="preserve"> Δεκεμβρίου 2020, καθώς και το διάστημα από την 1</w:t>
      </w:r>
      <w:r>
        <w:rPr>
          <w:b/>
          <w:bCs/>
          <w:sz w:val="30"/>
          <w:szCs w:val="30"/>
          <w:vertAlign w:val="superscript"/>
          <w:lang w:val="el" w:eastAsia="el"/>
        </w:rPr>
        <w:t>η</w:t>
      </w:r>
      <w:r>
        <w:rPr>
          <w:b/>
          <w:bCs/>
          <w:lang w:val="el" w:eastAsia="el"/>
        </w:rPr>
        <w:t xml:space="preserve"> Ιανουαρίου 2021 έως και την 31</w:t>
      </w:r>
      <w:r>
        <w:rPr>
          <w:b/>
          <w:bCs/>
          <w:sz w:val="30"/>
          <w:szCs w:val="30"/>
          <w:vertAlign w:val="superscript"/>
          <w:lang w:val="el" w:eastAsia="el"/>
        </w:rPr>
        <w:t>η</w:t>
      </w:r>
      <w:r>
        <w:rPr>
          <w:b/>
          <w:bCs/>
          <w:lang w:val="el" w:eastAsia="el"/>
        </w:rPr>
        <w:t xml:space="preserve"> Ιανουαρίου 2021, παρατείνεται η προθεσμία έναρξης των τριάντα ημερών για την υποβολή των πληροφοριών και ορίζεται η 1</w:t>
      </w:r>
      <w:r>
        <w:rPr>
          <w:b/>
          <w:bCs/>
          <w:sz w:val="30"/>
          <w:szCs w:val="30"/>
          <w:vertAlign w:val="superscript"/>
          <w:lang w:val="el" w:eastAsia="el"/>
        </w:rPr>
        <w:t>η</w:t>
      </w:r>
      <w:r>
        <w:rPr>
          <w:b/>
          <w:bCs/>
          <w:lang w:val="el" w:eastAsia="el"/>
        </w:rPr>
        <w:t xml:space="preserve"> Φεβρουαρίου 2021,δυνάμει της παρ. 19β) εξουσιοδοτικής διάταξης.</w:t>
      </w:r>
    </w:p>
    <w:p>
      <w:pPr>
        <w:spacing w:before="240" w:after="240"/>
        <w:rPr>
          <w:lang w:val="el" w:eastAsia="el"/>
        </w:rPr>
      </w:pPr>
      <w:r>
        <w:rPr>
          <w:b/>
          <w:bCs/>
          <w:lang w:val="el" w:eastAsia="el"/>
        </w:rPr>
        <w:t>(ii) Έως τις 28 Φεβρουαρίου 2021 για τις πληροφορίες της παραγράφου 11, ήτοι τις ρυθμίσεις για τις οποίες το πρώτο στάδιο ολοκληρώθηκε μεταξύ 25 Ιουνίου 2018 και 30 Ιουνίου 2020.</w:t>
      </w:r>
    </w:p>
    <w:p>
      <w:pPr>
        <w:spacing w:before="240" w:after="240"/>
        <w:rPr>
          <w:lang w:val="el" w:eastAsia="el"/>
        </w:rPr>
      </w:pPr>
      <w:r>
        <w:rPr>
          <w:b/>
          <w:bCs/>
          <w:lang w:val="el" w:eastAsia="el"/>
        </w:rPr>
        <w:t>(iii) Στην περίπτωση εφαρμογής ρυθμίσεων γενικής χρήσης υποβάλλονται περιοδικές εκθέσεις ανά τρίμηνο σύμφωνα με τα οριζόμενα στην παράγραφο 2 με πρώτη καταληκτική προθεσμία την 30 Απριλίου 2021.</w:t>
      </w:r>
    </w:p>
    <w:p>
      <w:pPr>
        <w:pStyle w:val="MainText"/>
        <w:spacing w:before="120" w:after="0"/>
        <w:rPr>
          <w:lang w:val="el" w:eastAsia="el"/>
        </w:rPr>
      </w:pPr>
      <w:r>
        <w:rPr>
          <w:b/>
          <w:bCs/>
          <w:lang w:val="el" w:eastAsia="el"/>
        </w:rPr>
        <w:t>2.</w:t>
      </w:r>
      <w:r>
        <w:rPr>
          <w:b/>
          <w:bCs/>
          <w:lang w:val="el" w:eastAsia="el"/>
        </w:rPr>
        <w:t xml:space="preserve"> Η υποβολή των πληροφοριών διενεργείται μέσω ηλεκτρονικής εφαρμογής, που αναρτάται στην ιστοσελίδα της ΑΑΔΕ, είτε από εξουσιοδοτημένο εκπρόσωπο του Νομικού Προσώπου, είτε από τα υπόχρεα Φυσικά Πρόσωπα, με τους κωδικούς ‘TAXISnet’.</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(στην ηλεκτρονική διεύθυνση</w:t>
      </w:r>
      <w:hyperlink r:id="rId5" w:history="1">
        <w:r>
          <w:rPr>
            <w:rStyle w:val="Hyperlink"/>
            <w:b/>
            <w:bCs/>
            <w:color w:val="0000EE"/>
            <w:u w:color="0000EE"/>
            <w:lang w:val="el" w:eastAsia="el"/>
          </w:rPr>
          <w:t xml:space="preserve">webmaster.et@et.gr </w:t>
        </w:r>
      </w:hyperlink>
      <w:r>
        <w:rPr>
          <w:b/>
          <w:bCs/>
          <w:lang w:val="el" w:eastAsia="el"/>
        </w:rPr>
        <w:t>), για δημοσίευση της απόφασης</w:t>
      </w:r>
    </w:p>
    <w:p>
      <w:pPr>
        <w:pStyle w:val="MainText"/>
        <w:spacing w:before="120" w:after="0"/>
        <w:rPr>
          <w:lang w:val="el" w:eastAsia="el"/>
        </w:rPr>
      </w:pPr>
      <w:r>
        <w:rPr>
          <w:b/>
          <w:bCs/>
          <w:lang w:val="el" w:eastAsia="el"/>
        </w:rPr>
        <w:t>2.</w:t>
      </w:r>
      <w:r>
        <w:rPr>
          <w:b/>
          <w:bCs/>
          <w:lang w:val="el" w:eastAsia="el"/>
        </w:rPr>
        <w:t xml:space="preserve">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Υφυπουργού</w:t>
      </w:r>
    </w:p>
    <w:p>
      <w:pPr>
        <w:pStyle w:val="MainText"/>
        <w:spacing w:before="120" w:after="0"/>
        <w:rPr>
          <w:lang w:val="el" w:eastAsia="el"/>
        </w:rPr>
      </w:pPr>
      <w:r>
        <w:rPr>
          <w:b/>
          <w:bCs/>
          <w:lang w:val="el" w:eastAsia="el"/>
        </w:rPr>
        <w:t>3.</w:t>
      </w:r>
      <w:r>
        <w:rPr>
          <w:b/>
          <w:bCs/>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Αποδέκτες πινάκων Α΄, Β΄, Γ΄ και Δ΄</w:t>
      </w:r>
    </w:p>
    <w:p>
      <w:pPr>
        <w:pStyle w:val="MainText"/>
        <w:spacing w:before="120" w:after="0"/>
        <w:rPr>
          <w:lang w:val="el" w:eastAsia="el"/>
        </w:rPr>
      </w:pPr>
      <w:r>
        <w:rPr>
          <w:b/>
          <w:bCs/>
          <w:lang w:val="el" w:eastAsia="el"/>
        </w:rPr>
        <w:t>5.</w:t>
      </w:r>
      <w:r>
        <w:rPr>
          <w:b/>
          <w:bCs/>
          <w:lang w:val="el" w:eastAsia="el"/>
        </w:rPr>
        <w:t xml:space="preserve"> ΠΕΡΙΟΔΙΚΟ «ΦΟΡΟΛΟΓΙΚΗ ΕΠΙΘΕΩΡΗΣΗ»</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κ. Γενικού Δ/ντή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Γραφείο κ. Γενικού Δ/ντή Ηλεκτρονικής Διακυβέρνησης</w:t>
      </w:r>
    </w:p>
    <w:p>
      <w:pPr>
        <w:pStyle w:val="MainText"/>
        <w:spacing w:before="120" w:after="0"/>
        <w:rPr>
          <w:lang w:val="el" w:eastAsia="el"/>
        </w:rPr>
      </w:pPr>
      <w:r>
        <w:rPr>
          <w:b/>
          <w:bCs/>
          <w:lang w:val="el" w:eastAsia="el"/>
        </w:rPr>
        <w:t>4.</w:t>
      </w:r>
      <w:r>
        <w:rPr>
          <w:b/>
          <w:bCs/>
          <w:lang w:val="el" w:eastAsia="el"/>
        </w:rPr>
        <w:t xml:space="preserve"> Γραφείο κ. Γενικού Δ/ντή Τελωνείων και Ειδικών Φόρων Κατανάλωσης (Ε.Φ.Κ.)</w:t>
      </w:r>
    </w:p>
    <w:p>
      <w:pPr>
        <w:pStyle w:val="MainText"/>
        <w:spacing w:before="120" w:after="0"/>
        <w:rPr>
          <w:lang w:val="el" w:eastAsia="el"/>
        </w:rPr>
      </w:pPr>
      <w:r>
        <w:rPr>
          <w:b/>
          <w:bCs/>
          <w:lang w:val="el" w:eastAsia="el"/>
        </w:rPr>
        <w:t>5.</w:t>
      </w:r>
      <w:r>
        <w:rPr>
          <w:b/>
          <w:bCs/>
          <w:lang w:val="el" w:eastAsia="el"/>
        </w:rPr>
        <w:t xml:space="preserve"> Δ/νση Διεθνών Οικονομικών Σχέσεων, Τμήμα Γ’</w:t>
      </w:r>
    </w:p>
    <w:p>
      <w:pPr>
        <w:spacing w:before="240" w:after="240"/>
        <w:rPr>
          <w:lang w:val="el" w:eastAsia="el"/>
        </w:rPr>
      </w:pPr>
      <w:r>
        <w:rPr>
          <w:b/>
          <w:bCs/>
          <w:lang w:val="el" w:eastAsia="el"/>
        </w:rPr>
        <w:t>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