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15093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Φθιώτιδας της Περιφέρειας Στερεάς Ελλάδας.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(A’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4038/2012 «Επείγουσες ρυθμίσεις που αφορούν την εφαρμογή του μεσοπρόθεσμου πλαισίου δημοσιονομικής στρατηγικής 2012-2015» (A’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(Α’ 119)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(A’ 145).</w:t>
      </w:r>
    </w:p>
    <w:p>
      <w:pPr>
        <w:pStyle w:val="PreambelText"/>
        <w:spacing w:before="240" w:after="240"/>
        <w:rPr>
          <w:lang w:val="el" w:eastAsia="el"/>
        </w:rPr>
      </w:pPr>
      <w:r>
        <w:rPr>
          <w:lang w:val="el" w:eastAsia="el"/>
        </w:rPr>
        <w:t>11. Το π.δ. 142/2017 «Οργανισμός του Υπουργείου Οικονομικών» (A’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(A’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(A’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 διατάξεις 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 4615).</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ΕΞ2017/24.5.2017 (Β’ 1927), 107541/ΕΞ2020/25.9.2020 (Β’ 4181), 124695 ΕΞ2020/2.11.2020 (Β’ 4967) και 145125 ΕΞ2020/ 18.12.2020 (Β’ 5636)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υπ’ αρ.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378/28.1.2020 έγγραφο της Διεύθυνσης Ανάπτυξης Π.Ε. Φθιώτιδας της Γενικής Διεύθυνσης Ανάπτυξης της Περιφέρειας Στερεάς Ελλάδας.</w:t>
      </w:r>
    </w:p>
    <w:p>
      <w:pPr>
        <w:pStyle w:val="PreambelText"/>
        <w:spacing w:before="240" w:after="240"/>
        <w:rPr>
          <w:lang w:val="el" w:eastAsia="el"/>
        </w:rPr>
      </w:pPr>
      <w:r>
        <w:rPr>
          <w:lang w:val="el" w:eastAsia="el"/>
        </w:rPr>
        <w:t>24. Το υπό στοιχεία 13517 ΕΞ2021/3.2.2021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στην Περιφερειακή Ενότητα Φθιώτιδας της Περιφέρειας Στερεάς Ελλάδας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η οποία ανέρχεται σε 37.520,00 ευρώ περίπου σε βάρος του Προϋπολογισμού Δημοσίων Επενδύσεων του Υπουργείου Ανάπτυξης και Επενδύσεων (ΣΑΕ 027/0-ΚΩΔ. ΕΡΓΟΥ ΠΔΕ 2012ΣΕ02700000 - Τομέας Βιομηχανίας - Βιοτεχνίας). Η ανωτέρω δαπάνη εμπίπτει στις διατάξεις του Κανονισμού (ΕΕ) υπ’ αρ.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στην Περιφερειακή Ενότητα Φθιώτιδας της Περιφέρειας Στερεάς Ελλάδας, οι οποίες έχουν οριοθετηθεί με την υπό στοιχεία Δ.Α.Ε.Φ.Κ.-Κ.Ε./10330/Α325/7.10.2020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του Κανονισμού (ΕΕ) υπ’ αρ. 651/2014.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23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Διεύθυνσης Βιομηχανικής και Επιχειρηματικής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ΣΠΥΡΙΔΩΝ - ΑΔΩΝΙΣ</w:t>
      </w:r>
    </w:p>
    <w:p>
      <w:pPr>
        <w:spacing w:before="240" w:after="240"/>
        <w:rPr>
          <w:lang w:val="el" w:eastAsia="el"/>
        </w:rPr>
      </w:pPr>
      <w:r>
        <w:rPr>
          <w:b/>
          <w:bCs/>
          <w:lang w:val="el" w:eastAsia="el"/>
        </w:rPr>
        <w:t>ΖΑΒΒΟΣ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 Υποδομών και Μεταφορών</w:t>
      </w:r>
    </w:p>
    <w:p>
      <w:pPr>
        <w:spacing w:before="240" w:after="240"/>
        <w:rPr>
          <w:lang w:val="el" w:eastAsia="el"/>
        </w:rPr>
      </w:pPr>
      <w:r>
        <w:rPr>
          <w:b/>
          <w:bCs/>
          <w:lang w:val="el" w:eastAsia="el"/>
        </w:rPr>
        <w:t>ΙΩΑΝΝΗΣ ΚΩΝΣΤΑΝΤΙΝΟΣ</w:t>
      </w:r>
    </w:p>
    <w:p>
      <w:pPr>
        <w:spacing w:before="240" w:after="240"/>
        <w:rPr>
          <w:lang w:val="el" w:eastAsia="el"/>
        </w:rPr>
      </w:pPr>
      <w:r>
        <w:rPr>
          <w:b/>
          <w:bCs/>
          <w:lang w:val="el" w:eastAsia="el"/>
        </w:rPr>
        <w:t>ΤΣΑΚΙΡΗΣ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