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Ω0ΝΤ46ΜΠ3Ζ-0ΣΠ</w:t>
      </w:r>
    </w:p>
    <w:p>
      <w:pPr>
        <w:spacing w:before="240" w:after="240"/>
        <w:rPr>
          <w:lang w:val="el" w:eastAsia="el"/>
        </w:rPr>
      </w:pPr>
      <w:r>
        <w:rPr>
          <w:b/>
          <w:bCs/>
          <w:lang w:val="el" w:eastAsia="el"/>
        </w:rPr>
        <w:t>Αριθ. ΦΕΚ 516/Β’/09.02.2021</w:t>
      </w:r>
    </w:p>
    <w:p>
      <w:pPr>
        <w:spacing w:before="240" w:after="240"/>
        <w:rPr>
          <w:lang w:val="el" w:eastAsia="el"/>
        </w:rPr>
      </w:pPr>
      <w:r>
        <w:rPr>
          <w:b/>
          <w:bCs/>
          <w:lang w:val="el" w:eastAsia="el"/>
        </w:rPr>
        <w:t>Αθήνα, 09 Φεβρουαρίου 2021</w:t>
      </w:r>
    </w:p>
    <w:p>
      <w:pPr>
        <w:spacing w:before="240" w:after="240"/>
        <w:rPr>
          <w:lang w:val="el" w:eastAsia="el"/>
        </w:rPr>
      </w:pPr>
      <w:r>
        <w:rPr>
          <w:b/>
          <w:bCs/>
          <w:lang w:val="el" w:eastAsia="el"/>
        </w:rPr>
        <w:t>Α.1022</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ΘΕΜΑ: «Καθορισμός των Κωδικών Αριθμών Δραστηριοτήτων (ΚΑΔ) των επιχειρήσεων για την εφαρμογή της περ. α΄ της παρ. 1 του άρθρου 28 του ν. 4772/2021, με τίτλο: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28 και ιδίως την περ. α΄ της παρ. 1 του ν. 4772/2021 (Α΄ 17)</w:t>
      </w:r>
    </w:p>
    <w:p>
      <w:pPr>
        <w:spacing w:before="240" w:after="240"/>
        <w:rPr>
          <w:lang w:val="el" w:eastAsia="el"/>
        </w:rPr>
      </w:pPr>
      <w:r>
        <w:rPr>
          <w:lang w:val="el" w:eastAsia="el"/>
        </w:rPr>
        <w:t>2. Τις διατάξεις του ν. 4174/2013 (Α΄ 170 -Κ.Φ.Δ.), όπως ισχύουν.</w:t>
      </w:r>
    </w:p>
    <w:p>
      <w:pPr>
        <w:spacing w:before="240" w:after="240"/>
        <w:rPr>
          <w:lang w:val="el" w:eastAsia="el"/>
        </w:rPr>
      </w:pPr>
      <w:r>
        <w:rPr>
          <w:lang w:val="el" w:eastAsia="el"/>
        </w:rPr>
        <w:t>3. Τις διατάξεις του άρθρου 40 του ν. 3259/2004 (Α’ 149), όπως ισχύουν.</w:t>
      </w:r>
    </w:p>
    <w:p>
      <w:pPr>
        <w:spacing w:before="240" w:after="240"/>
        <w:rPr>
          <w:lang w:val="el" w:eastAsia="el"/>
        </w:rPr>
      </w:pPr>
      <w:r>
        <w:rPr>
          <w:lang w:val="el" w:eastAsia="el"/>
        </w:rPr>
        <w:t>4. Το π.δ. 142/2017 «Οργανισμός Υπουργείου Οικονομικών» (Α΄ 181), όπως ισχύει.</w:t>
      </w:r>
    </w:p>
    <w:p>
      <w:pPr>
        <w:spacing w:before="240" w:after="240"/>
        <w:rPr>
          <w:lang w:val="el" w:eastAsia="el"/>
        </w:rPr>
      </w:pPr>
      <w:r>
        <w:rPr>
          <w:lang w:val="el" w:eastAsia="el"/>
        </w:rPr>
        <w:t>5. Το άρθρο 90 του π.δ. 63/2005 «Κωδικοποίηση της νομοθεσίας για την Κυβέρνηση και τα Κυβερνητικά Όργανα» (Α’ 98), όπως ισχύει.</w:t>
      </w:r>
    </w:p>
    <w:p>
      <w:pPr>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13. Την ανάγκη καθορισμού των Κωδικών Αριθμών Δραστηριοτήτων (ΚΑΔ) των επιχειρήσεων που εμπίπτουν στο πεδίο εφαρμογής της περ. α΄ της παρ. 1 του άρθρου 28 του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spacing w:before="240" w:after="240"/>
        <w:rPr>
          <w:lang w:val="el" w:eastAsia="el"/>
        </w:rPr>
      </w:pPr>
      <w:r>
        <w:rPr>
          <w:lang w:val="el" w:eastAsia="el"/>
        </w:rPr>
        <w:t>14. Την εισήγηση του Διοικητή της ΑΑΔΕ.</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καθορίζονται οι Κωδικοί Αριθμοί Δραστηριότητας (ΚΑΔ), που εμπίπτουν στο πεδίο εφαρμογής της περ. α΄ της παρ. 1 του άρθρου 28 του ν. 4772/2021 (Α΄ 17), για την υπαγωγή, από τις 25.1.2021 και μέχρι την 28</w:t>
      </w:r>
      <w:r>
        <w:rPr>
          <w:sz w:val="30"/>
          <w:szCs w:val="30"/>
          <w:vertAlign w:val="superscript"/>
          <w:lang w:val="el" w:eastAsia="el"/>
        </w:rPr>
        <w:t>η</w:t>
      </w:r>
      <w:r>
        <w:rPr>
          <w:lang w:val="el" w:eastAsia="el"/>
        </w:rPr>
        <w:t>.2.2021, αξιογράφων οφειλόμενων από επιχειρήσεις που,</w:t>
      </w:r>
    </w:p>
    <w:p>
      <w:pPr>
        <w:spacing w:before="240" w:after="240"/>
        <w:rPr>
          <w:lang w:val="el" w:eastAsia="el"/>
        </w:rPr>
      </w:pPr>
      <w:r>
        <w:rPr>
          <w:lang w:val="el" w:eastAsia="el"/>
        </w:rPr>
        <w:t>• είτε έχουν αναστείλει τη δραστηριότητά τους κατ’ εφαρμογή κανονιστικών πράξεων της Διοίκησης, με δραστηριότητα που εμπίπτει στους ΚΑΔ του συνημμένου Παραρτήματος 1, το οποίο αποτελεί αναπόσπαστο μέρος της παρούσας.</w:t>
      </w:r>
    </w:p>
    <w:p>
      <w:pPr>
        <w:spacing w:before="240" w:after="240"/>
        <w:rPr>
          <w:lang w:val="el" w:eastAsia="el"/>
        </w:rPr>
      </w:pPr>
      <w:r>
        <w:rPr>
          <w:lang w:val="el" w:eastAsia="el"/>
        </w:rPr>
        <w:t>• είτε έχουν πληγεί δραστικά από την επιδημία του κορωνοϊού COVID-19, με δραστηριότητα που εμπίπτει στους ΚΑΔ του συνημμένου Παραρτήματος 2, το οποίο αποτελεί αναπόσπαστο μέρος της παρούσας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spacing w:before="240" w:after="240"/>
        <w:rPr>
          <w:lang w:val="el" w:eastAsia="el"/>
        </w:rPr>
      </w:pPr>
      <w:r>
        <w:rPr>
          <w:lang w:val="el" w:eastAsia="el"/>
        </w:rPr>
        <w:t>• είτε ιδρύθηκαν μετά την 1</w:t>
      </w:r>
      <w:r>
        <w:rPr>
          <w:sz w:val="30"/>
          <w:szCs w:val="30"/>
          <w:vertAlign w:val="superscript"/>
          <w:lang w:val="el" w:eastAsia="el"/>
        </w:rPr>
        <w:t>η</w:t>
      </w:r>
      <w:r>
        <w:rPr>
          <w:lang w:val="el" w:eastAsia="el"/>
        </w:rPr>
        <w:t>.1.2020, με δραστηριότητα που εμπίπτει στους ΚΑΔ των συνημμένων Παραρτημάτων 1 και 2, τα οποία αποτελούν αναπόσπαστο μέρος της παρούσας, μη συνυπολογιζομένου του κύκλου εργασιών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lang w:val="el" w:eastAsia="el"/>
        </w:rPr>
        <w:t>Από τις 25.1.2021 και μέχρι την 28</w:t>
      </w:r>
      <w:r>
        <w:rPr>
          <w:sz w:val="30"/>
          <w:szCs w:val="30"/>
          <w:vertAlign w:val="superscript"/>
          <w:lang w:val="el" w:eastAsia="el"/>
        </w:rPr>
        <w:t>η</w:t>
      </w:r>
      <w:r>
        <w:rPr>
          <w:lang w:val="el" w:eastAsia="el"/>
        </w:rPr>
        <w:t>.2.2021, αναστέλλονται οι προθεσμίες λήξης, εμφάνισης και πληρωμής αξιογράφων, κατά εβδομήντα πέντε (75) ημέρες από την αναγραφόμενη ημερομηνία επί εκάστου αξιογράφου, οφειλόμενων από επιχειρήσεις του άρθρου 1 της παρούσας, οι οποίες την 5.11.2020 έχουν ενεργό, κύριο κωδικό δραστηριότητας από τους αναφερόμενους -κατά περίπτωση- στους συνημμένους πίνακες των Παραρτημάτων 1 &amp; 2, οι οποίοι και αποτελούν αναπόσπαστο μέρος της παρούσας ή των οποίων τα ακαθάριστα έσοδα ενεργού κατά την 5.11.2020 ΚΑΔ δευτερεύουσας δραστηριότητας (όπως αυτή αναγράφεται στα Παραρτήματα 1 &amp; 2), της αρχικής δήλωσης φόρου εισοδήματος φορολογικού έτους 2019, είναι μεγαλύτερα από τα ακαθάριστα έσοδα που αντιστοιχούν στον κύριο ΚΑΔ την 5.11.2020.</w:t>
      </w:r>
    </w:p>
    <w:p>
      <w:pPr>
        <w:spacing w:before="240" w:after="240"/>
        <w:rPr>
          <w:lang w:val="el" w:eastAsia="el"/>
        </w:rPr>
      </w:pPr>
      <w:r>
        <w:rPr>
          <w:lang w:val="el" w:eastAsia="el"/>
        </w:rPr>
        <w:t>Η προϋπόθεση του μειωμένου κύκλου εργασιών το 2020 κατά ποσοστό μεγαλύτερο από 40% σε σχέση με το 2019, για τις πληγείσες επιχειρήσεις υπολογίζεται ως ακολούθως:</w:t>
      </w:r>
    </w:p>
    <w:p>
      <w:pPr>
        <w:spacing w:before="240" w:after="240"/>
        <w:rPr>
          <w:lang w:val="el" w:eastAsia="el"/>
        </w:rPr>
      </w:pPr>
      <w:r>
        <w:rPr>
          <w:lang w:val="el" w:eastAsia="el"/>
        </w:rPr>
        <w:t>Α) για τις επιχειρήσεις που είναι υποκείμενες σε ΦΠΑ, είτε αυτές τηρούν απλογραφικά βιβλία είτε τηρούν διπλογραφικά, λαμβάνεται υπόψη το άθροισμα του κύκλου εργασιών μηνών Οκτωβρίου έως και Δεκεμβρίου 2019 και συγκρίνεται με το αντίστοιχο του 2020, εάν παρουσιάζει μείωση κατά ποσοστό μεγαλύτερο από 40%.</w:t>
      </w:r>
    </w:p>
    <w:p>
      <w:pPr>
        <w:spacing w:before="240" w:after="240"/>
        <w:rPr>
          <w:lang w:val="el" w:eastAsia="el"/>
        </w:rPr>
      </w:pPr>
      <w:r>
        <w:rPr>
          <w:lang w:val="el" w:eastAsia="el"/>
        </w:rPr>
        <w:t>Β) για τις επιχειρήσεις που δεν είναι υποκείμενες σε ΦΠΑ ή είναι υποκείμενες και απαλλασσόμενες, λαμβάνεται υπόψη, το άθροισμα των ακαθαρίστων εσόδων μηνών Οκτωβρίου έως και Δεκεμβρίου 2020 όπως αυτά έχουν διακριτά δηλωθεί ή θα δηλωθούν στην ηλεκτρονική πλατφόρμα «myBusinessSupport» της ΑΑΔΕ. Για τη σύγκριση με το έτος 2019, λαμβάνεται υπόψη το 25% των ακαθαρίστων εσόδων της δήλωσης ΦΕ φορολογικού έτους 2019. Σε περίπτωση μη υποβολής δήλωσης ΦΕ λόγω μη παρέλευσης της υποχρέωσης, η πληροφορία των ακαθαρίστων εσόδων αντλείται από το 25% του δηλούμενου ποσού εσόδων στην πλατφόρμα «myBusinessSupport» για το 2019. Σε περίπτωση μη υποβολής δήλωσης Φ.Ε., αν και έχει παρέλθει η ημερομηνία της σχετικής υποχρέωσης, η επιχείρηση δεν υπάγεται στο πεδίο εφαρμογής της περ. α’ της παρ. 1 του άρθρου 28 του ν. 4772/2021. Η δήλωση των ακαθαρίστων εσόδων στην πλατφόρμα, δύναται να πραγματοποιηθεί από τις 12 Φεβρουαρίου 2021 μέχρι τις 17 Φεβρουαρίου 2021.</w:t>
      </w:r>
    </w:p>
    <w:p>
      <w:pPr>
        <w:spacing w:before="240" w:after="240"/>
        <w:rPr>
          <w:lang w:val="el" w:eastAsia="el"/>
        </w:rPr>
      </w:pPr>
      <w:r>
        <w:rPr>
          <w:lang w:val="el" w:eastAsia="el"/>
        </w:rPr>
        <w:t>Σε περίπτωση που έχουν δηλωθεί ψευδή ή ανακριβή στοιχεία πέραν των συνεπειών της ψευδούς δήλωσης επέρχεται απώλεια των ευεργετημάτων της περίπτωσης (α) της παραγράφου 1 του άρθρου 28 του ν. 4772/2021 (Α’ 17).</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αποστολής ή διαβίβασης πληροφοριών από την ΑΑΔΕ προς τα</w:t>
      </w:r>
    </w:p>
    <w:p>
      <w:pPr>
        <w:spacing w:before="240" w:after="240"/>
        <w:rPr>
          <w:lang w:val="el" w:eastAsia="el"/>
        </w:rPr>
      </w:pPr>
      <w:r>
        <w:rPr>
          <w:b/>
          <w:bCs/>
          <w:lang w:val="el" w:eastAsia="el"/>
        </w:rPr>
        <w:t>Πιστωτικά Ιδρύματα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Η διασταύρωση των φορολογικών στοιχείων και ο έλεγχος για την πλήρωση των προϋποθέσεων του άρθρου 2 της παρούσας πραγματοποιείται με ηλεκτρονικό τρόπο από την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τα στοιχεία και πληροφορίες των δικαιούχων.</w:t>
      </w:r>
    </w:p>
    <w:p>
      <w:pPr>
        <w:pStyle w:val="MainText"/>
        <w:spacing w:before="120" w:after="0"/>
        <w:rPr>
          <w:lang w:val="el" w:eastAsia="el"/>
        </w:rPr>
      </w:pPr>
      <w:r>
        <w:rPr>
          <w:b/>
          <w:bCs/>
          <w:lang w:val="el" w:eastAsia="el"/>
        </w:rPr>
        <w:t>2.</w:t>
      </w:r>
      <w:r>
        <w:rPr>
          <w:lang w:val="el" w:eastAsia="el"/>
        </w:rPr>
        <w:t xml:space="preserve"> Η διαβίβαση των στοιχείων της αμέσως προηγούμενης παραγράφου γίνεται απευθείας από την ΑΑΔΕ μέσω ασφαλούς συστήματος μεταφοράς αρχείου. Ειδικά για πιστωτικά και χρηματοδοτικά ιδρύματα γίνεται μέσω της «Διατραπεζικά Συστήματα Α.Ε.» (ΔΙΑΣ).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τους Κωδικούς Αριθμούς Δραστηριότητας (ΚΑΔ) των επιχειρήσεων που,</w:t>
      </w:r>
    </w:p>
    <w:p>
      <w:pPr>
        <w:pStyle w:val="MainText"/>
        <w:spacing w:before="120" w:after="0"/>
        <w:rPr>
          <w:lang w:val="el" w:eastAsia="el"/>
        </w:rPr>
      </w:pPr>
      <w:r>
        <w:rPr>
          <w:b/>
          <w:bCs/>
          <w:lang w:val="el" w:eastAsia="el"/>
        </w:rPr>
        <w:t>1.</w:t>
      </w:r>
      <w:r>
        <w:rPr>
          <w:lang w:val="el" w:eastAsia="el"/>
        </w:rPr>
        <w:t xml:space="preserve"> είτε έχουν αναστείλει τη δραστηριότητά τους κατ’ εφαρμογή κανονιστικών πράξεων της Διοίκησης (</w:t>
      </w:r>
      <w:r>
        <w:rPr>
          <w:b/>
          <w:bCs/>
          <w:lang w:val="el" w:eastAsia="el"/>
        </w:rPr>
        <w:t>Παράρτημα 1</w:t>
      </w:r>
      <w:r>
        <w:rPr>
          <w:lang w:val="el" w:eastAsia="el"/>
        </w:rPr>
        <w:t>)</w:t>
      </w:r>
    </w:p>
    <w:p>
      <w:pPr>
        <w:pStyle w:val="MainText"/>
        <w:spacing w:before="120" w:after="0"/>
        <w:rPr>
          <w:lang w:val="el" w:eastAsia="el"/>
        </w:rPr>
      </w:pPr>
      <w:r>
        <w:rPr>
          <w:b/>
          <w:bCs/>
          <w:lang w:val="el" w:eastAsia="el"/>
        </w:rPr>
        <w:t>2.</w:t>
      </w:r>
      <w:r>
        <w:rPr>
          <w:lang w:val="el" w:eastAsia="el"/>
        </w:rPr>
        <w:t xml:space="preserve"> είτε έχουν πληγεί δραστικά από την επιδημία του κορωνοϊού COVID-19 (</w:t>
      </w:r>
      <w:r>
        <w:rPr>
          <w:b/>
          <w:bCs/>
          <w:lang w:val="el" w:eastAsia="el"/>
        </w:rPr>
        <w:t>Παράρτημα 2</w:t>
      </w:r>
      <w:r>
        <w:rPr>
          <w:lang w:val="el" w:eastAsia="el"/>
        </w:rPr>
        <w:t>).</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ΚΑΔ ΠΟΥ ΑΦΟΡΟΥΝ ΔΡΑΣΤΗΡΙΟΤΗΤΕΣ ΠΟΥ ΕΧΕΙ ΑΝΑΣΤΑΛΕΙ Η ΛΕΙΤΟΥΡΓΙΑ ΤΟΥΣ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ΚΑΔ ΠΟΥ ΑΦΟΡΟΥΝ ΔΡΑΣΤΗΡΙΟΤΗΤΕΣ ΠΟΥ ΠΛΗΤΤΟΝΤΑΙ</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6"/>
        <w:gridCol w:w="13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 δημοσίευσή της.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ΑΝΑΠΛΗΡΩΤΗΣ</w:t>
      </w:r>
    </w:p>
    <w:p>
      <w:pPr>
        <w:spacing w:before="240" w:after="240"/>
        <w:rPr>
          <w:lang w:val="el" w:eastAsia="el"/>
        </w:rPr>
      </w:pPr>
      <w:r>
        <w:rPr>
          <w:lang w:val="el" w:eastAsia="el"/>
        </w:rPr>
        <w:t>ΥΠΟΥΡΓΟΣ ΟΙΚΟΝΟΜΙΚΩΝ</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3. Διεύθυνση Ανάπτυξης Φορολογικών Εφαρμογών (ΔΑΦΕ)</w:t>
      </w:r>
    </w:p>
    <w:p>
      <w:pPr>
        <w:spacing w:before="240" w:after="240"/>
        <w:rPr>
          <w:lang w:val="el" w:eastAsia="el"/>
        </w:rPr>
      </w:pPr>
      <w:r>
        <w:rPr>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