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9ΙΡΘ46ΜΠ3Ζ-735</w:t>
      </w:r>
    </w:p>
    <w:p>
      <w:pPr>
        <w:pStyle w:val="Title"/>
        <w:spacing w:before="120" w:after="360"/>
        <w:rPr>
          <w:lang w:val="el" w:eastAsia="el"/>
        </w:rPr>
      </w:pPr>
      <w:r>
        <w:rPr>
          <w:b/>
          <w:bCs/>
          <w:lang w:val="el" w:eastAsia="el"/>
        </w:rPr>
        <w:t>ΦΕΚ:Β’ 639/17.2.2021</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w:t>
      </w:r>
    </w:p>
    <w:p>
      <w:pPr>
        <w:spacing w:before="240" w:after="240"/>
        <w:rPr>
          <w:lang w:val="el" w:eastAsia="el"/>
        </w:rPr>
      </w:pPr>
      <w:r>
        <w:rPr>
          <w:b/>
          <w:bCs/>
          <w:lang w:val="el" w:eastAsia="el"/>
        </w:rPr>
        <w:t>ΕΤΑΙΡΕΙΩΝ</w:t>
      </w:r>
    </w:p>
    <w:p>
      <w:pPr>
        <w:spacing w:before="240" w:after="240"/>
        <w:rPr>
          <w:lang w:val="el" w:eastAsia="el"/>
        </w:rPr>
      </w:pPr>
      <w:r>
        <w:rPr>
          <w:lang w:val="el" w:eastAsia="el"/>
        </w:rPr>
        <w:t>Ταχ. Δ/νση : Καρ. Σερβίας 10 Ταχ. Κώδικας: 10184, Αθήνα</w:t>
      </w:r>
    </w:p>
    <w:p>
      <w:pPr>
        <w:spacing w:before="240" w:after="240"/>
        <w:rPr>
          <w:lang w:val="el" w:eastAsia="el"/>
        </w:rPr>
      </w:pPr>
      <w:r>
        <w:rPr>
          <w:lang w:val="el" w:eastAsia="el"/>
        </w:rPr>
        <w:t>Τηλέφωνο : 210 3375149</w:t>
      </w:r>
    </w:p>
    <w:p>
      <w:pPr>
        <w:spacing w:before="240" w:after="240"/>
        <w:rPr>
          <w:lang w:val="el" w:eastAsia="el"/>
        </w:rPr>
      </w:pPr>
      <w:r>
        <w:rPr>
          <w:lang w:val="el" w:eastAsia="el"/>
        </w:rPr>
        <w:t>Fax : 2103375001</w:t>
      </w:r>
    </w:p>
    <w:p>
      <w:pPr>
        <w:spacing w:before="240" w:after="240"/>
        <w:rPr>
          <w:lang w:val="el" w:eastAsia="el"/>
        </w:rPr>
      </w:pPr>
      <w:r>
        <w:rPr>
          <w:lang w:val="el" w:eastAsia="el"/>
        </w:rPr>
        <w:t>E-Mail :</w:t>
      </w:r>
      <w:hyperlink r:id="rId4" w:history="1">
        <w:r>
          <w:rPr>
            <w:rStyle w:val="Hyperlink"/>
            <w:color w:val="0000EE"/>
            <w:u w:color="0000EE"/>
            <w:lang w:val="el" w:eastAsia="el"/>
          </w:rPr>
          <w:t>d12.c@ yo.syzefxis.gov.gr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Τύπος και περιεχόμενο των δηλώσεων φόρου πλοίων πρώτης κατηγορίας του ν. 27/1975 (Α΄ 77), καθώς και τύπος πράξης διοικητικού προσδιορισμού φόρου πλοίων δεύτερης κατηγορίας του ίδιου νόμου για τις περιπτώσεις ναύλωσης γυμνού πλοίου (bareboat charterer) και χρηματοδοτικής μίσθωσης πλοίου (ship lessee), οι οποίες προστέθηκαν με τον ν. 4646/2019 (A΄ 201).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α. </w:t>
      </w:r>
      <w:r>
        <w:rPr>
          <w:lang w:val="el" w:eastAsia="el"/>
        </w:rPr>
        <w:t>Τις διατάξεις:</w:t>
      </w:r>
    </w:p>
    <w:p>
      <w:pPr>
        <w:spacing w:before="240" w:after="240"/>
        <w:rPr>
          <w:lang w:val="el" w:eastAsia="el"/>
        </w:rPr>
      </w:pPr>
      <w:r>
        <w:rPr>
          <w:lang w:val="el" w:eastAsia="el"/>
        </w:rPr>
        <w:t>1. Της παρ. 2 του άρθρου 18, των άρθρων 30, 31, 32 και 34, των λοιπών άρθρων καθώς και του Παραρτήματος του ν. 4174/2013 (Α΄ 170), όπως ισχύουν.</w:t>
      </w:r>
    </w:p>
    <w:p>
      <w:pPr>
        <w:spacing w:before="240" w:after="240"/>
        <w:rPr>
          <w:lang w:val="el" w:eastAsia="el"/>
        </w:rPr>
      </w:pPr>
      <w:r>
        <w:rPr>
          <w:lang w:val="el" w:eastAsia="el"/>
        </w:rPr>
        <w:t>2. Του ν. 27/1975 (Α΄ 77).</w:t>
      </w:r>
    </w:p>
    <w:p>
      <w:pPr>
        <w:spacing w:before="240" w:after="240"/>
        <w:rPr>
          <w:lang w:val="el" w:eastAsia="el"/>
        </w:rPr>
      </w:pPr>
      <w:r>
        <w:rPr>
          <w:lang w:val="el" w:eastAsia="el"/>
        </w:rPr>
        <w:t>3. Του άρθρου 61 του ν.4646/2019 σχετικά με τη ναύλωση γυμνού πλοίου (Α΄ 201).</w:t>
      </w:r>
    </w:p>
    <w:p>
      <w:pPr>
        <w:spacing w:before="240" w:after="240"/>
        <w:rPr>
          <w:lang w:val="el" w:eastAsia="el"/>
        </w:rPr>
      </w:pPr>
      <w:r>
        <w:rPr>
          <w:lang w:val="el" w:eastAsia="el"/>
        </w:rPr>
        <w:t>4. Του άρθρου 13 του Ν.Δ.2687/53 (Α΄ 317), όπως ισχύουν.</w:t>
      </w:r>
    </w:p>
    <w:p>
      <w:pPr>
        <w:spacing w:before="240" w:after="240"/>
        <w:rPr>
          <w:lang w:val="el" w:eastAsia="el"/>
        </w:rPr>
      </w:pPr>
      <w:r>
        <w:rPr>
          <w:lang w:val="el" w:eastAsia="el"/>
        </w:rPr>
        <w:t>5.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6. Της υπό στοιχεία Δ. ΟΡΓ. Α 1125859 ΕΞ 2020 (Β΄ 4738) απόφασης του Διοικητή της ΑΑΔΕ «Οργανισμός της Ανεξάρτητης Αρχής Δημοσίων Εσόδων (Α.Α.Δ.Ε.)», όπως ισχύει.</w:t>
      </w:r>
    </w:p>
    <w:p>
      <w:pPr>
        <w:spacing w:before="240" w:after="240"/>
        <w:rPr>
          <w:lang w:val="el" w:eastAsia="el"/>
        </w:rPr>
      </w:pPr>
      <w:r>
        <w:rPr>
          <w:lang w:val="el" w:eastAsia="el"/>
        </w:rPr>
        <w:t>7. 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«Ανανέωση της θητείας του Διοικητή της Ανεξάρτητης Αρχής Δημοσίων Εσόδων», καθώς και την υπ’ αρ. 5294/17.1.2020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8. Της υπό στοιχεία Δ6Α 1015213 ΕΞ 2013/28.1.2013 υπουργικής απόφασης «Μεταβίβαση αρμοδιοτήτων στον Γενικό Γραμματέα της Γενικής Γραμματείας Δημοσίων Εσόδων [2] του Υπουργείου Οικονομικών» (Β' 130 και Β' 372) και της υπό στοιχεία Δ6Α 1145867 ΕΞ 2013/25.9.2013 απόφασης του Υπουργού Οικονομικών «Μεταβίβαση αρμοδιοτήτων στον Γενικό Γραμματέα της Γενικής Γραμματείας Δημοσίων Εσόδων του Υπουργείου Οικονομικών» (Β' 2417), όπως τροποποιήθηκαν, συμπληρώθηκαν και ισχύουν, σε συνδυασμό με τις διατάξεις της υποπαρ. α' της παρ. 3 του άρθρου 41 του ν. 4389/2016 και</w:t>
      </w:r>
    </w:p>
    <w:p>
      <w:pPr>
        <w:spacing w:before="240" w:after="240"/>
        <w:rPr>
          <w:lang w:val="el" w:eastAsia="el"/>
        </w:rPr>
      </w:pPr>
      <w:r>
        <w:rPr>
          <w:b/>
          <w:bCs/>
          <w:lang w:val="el" w:eastAsia="el"/>
        </w:rPr>
        <w:t>β</w:t>
      </w:r>
      <w:r>
        <w:rPr>
          <w:lang w:val="el" w:eastAsia="el"/>
        </w:rPr>
        <w:t>. Την ανάγκη υποβολής δήλωσης φόρου πλοίων πρώτης κατηγορίας του ν. 27/1975 και έκδοσης τύπου πράξης διοικητικού προσδιορισμού φόρου πλοίων δεύτερης κατηγορίας του ίδιου νόμου για τις περιπτώσεις ναύλωσης γυμνού πλοίου (bareboat charterer) και χρηματοδοτικής μίσθωσης πλοίου (ship lessee), οι οποίες προστέθηκαν με τον ν. 4646/2019.</w:t>
      </w:r>
    </w:p>
    <w:p>
      <w:pPr>
        <w:spacing w:before="240" w:after="240"/>
        <w:rPr>
          <w:lang w:val="el" w:eastAsia="el"/>
        </w:rPr>
      </w:pPr>
      <w:r>
        <w:rPr>
          <w:b/>
          <w:bCs/>
          <w:lang w:val="el" w:eastAsia="el"/>
        </w:rPr>
        <w:t xml:space="preserve">γ. </w:t>
      </w:r>
      <w:r>
        <w:rPr>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lang w:val="el" w:eastAsia="el"/>
        </w:rPr>
        <w:t>Ο τύπος και το περιεχόμενο των δηλώσεων φόρου πλοίων πρώτης κατηγορίας του ν.27/1975, αναφορικά με τον υπολογισμό και τη βεβαίωση του φόρου αυτού, στις περιπτώσεις ναύλωσης γυμνού πλοίου (bareboat charterer) και χρηματοδοτικής μίσθωσης πλοίου (ship lessee) που νηολογούνται:</w:t>
      </w:r>
    </w:p>
    <w:p>
      <w:pPr>
        <w:pStyle w:val="StructureList1"/>
        <w:spacing w:before="120" w:after="0"/>
        <w:rPr>
          <w:lang w:val="el" w:eastAsia="el"/>
        </w:rPr>
      </w:pPr>
      <w:r>
        <w:rPr>
          <w:lang w:val="el" w:eastAsia="el"/>
        </w:rPr>
        <w:t>α)</w:t>
      </w:r>
      <w:r>
        <w:rPr>
          <w:lang w:val="en" w:eastAsia="en"/>
        </w:rPr>
        <w:tab/>
      </w:r>
      <w:r>
        <w:rPr>
          <w:lang w:val="el" w:eastAsia="el"/>
        </w:rPr>
        <w:t>με ελληνική σημαία μετά την έναρξη ισχύος του ν. 27/1975 και φορολογούνται σύμφωνα με τις διατάξεις του νόμου αυτού, όπως ισχύει μετά την προσθήκη του άρθρου 26β με τις διατάξεις του άρθρου 61 του ν. 4646/2019 (Υπόδειγμα 1),</w:t>
      </w:r>
    </w:p>
    <w:p>
      <w:pPr>
        <w:pStyle w:val="StructureList1"/>
        <w:spacing w:before="120" w:after="0"/>
        <w:rPr>
          <w:lang w:val="el" w:eastAsia="el"/>
        </w:rPr>
      </w:pPr>
      <w:r>
        <w:rPr>
          <w:lang w:val="el" w:eastAsia="el"/>
        </w:rPr>
        <w:t>β)</w:t>
      </w:r>
      <w:r>
        <w:rPr>
          <w:lang w:val="en" w:eastAsia="en"/>
        </w:rPr>
        <w:tab/>
      </w:r>
      <w:r>
        <w:rPr>
          <w:lang w:val="el" w:eastAsia="el"/>
        </w:rPr>
        <w:t>με ελληνική σημαία μετά την έναρξη ισχύος του ν. 27/1975 και φορολογούνται σύμφωνα αφενός με τις διατάξεις του νόμου αυτού, όπως ισχύει μετά την προσθήκη του άρθρου 26β με τις διατάξεις του άρθρου 61 του ν. 4646/2019, και αφετέρου τις εγκριτικές πράξεις νηολόγησης με βάση το άρθρο 13 του ν. δ. 2687/1953 (Υπόδειγμα 2),</w:t>
      </w:r>
    </w:p>
    <w:p>
      <w:pPr>
        <w:pStyle w:val="StructureList1"/>
        <w:spacing w:before="120" w:after="0"/>
        <w:rPr>
          <w:lang w:val="el" w:eastAsia="el"/>
        </w:rPr>
      </w:pPr>
      <w:r>
        <w:rPr>
          <w:lang w:val="el" w:eastAsia="el"/>
        </w:rPr>
        <w:t>γ)</w:t>
      </w:r>
      <w:r>
        <w:rPr>
          <w:lang w:val="en" w:eastAsia="en"/>
        </w:rPr>
        <w:tab/>
      </w:r>
      <w:r>
        <w:rPr>
          <w:lang w:val="el" w:eastAsia="el"/>
        </w:rPr>
        <w:t>με ξένη σημαία, τα οποία διαχειρίζονται ημεδαπές ή αλλοδαπές εταιρείες εγκατεστημένες στην Ελλάδα δυνάμει των διατάξεων του άρθρου 25 του ν. 27/1975 και φορολογούνται σύμφωνα με τις διατάξεις του νόμου αυτού και τις εγκριτικές πράξεις νηολόγησης πλοίων με βάση το άρθρο 13 του ν. δ. 2687/1953 (Υπόδειγμα 3) και</w:t>
      </w:r>
    </w:p>
    <w:p>
      <w:pPr>
        <w:pStyle w:val="StructureList1"/>
        <w:spacing w:before="120" w:after="0"/>
        <w:rPr>
          <w:lang w:val="el" w:eastAsia="el"/>
        </w:rPr>
      </w:pPr>
      <w:r>
        <w:rPr>
          <w:lang w:val="el" w:eastAsia="el"/>
        </w:rPr>
        <w:t>δ)</w:t>
      </w:r>
      <w:r>
        <w:rPr>
          <w:lang w:val="en" w:eastAsia="en"/>
        </w:rPr>
        <w:tab/>
      </w:r>
      <w:r>
        <w:rPr>
          <w:lang w:val="el" w:eastAsia="el"/>
        </w:rPr>
        <w:t>με σημαία Ε.Ε. και Ε.Ο.Χ. πλην της ελληνικής και φορολογούνται σύμφωνα με τις διατάξεις του άρθρου 26α του ν. 27/1975 (Υπόδειγμα 4)</w:t>
      </w:r>
    </w:p>
    <w:p>
      <w:pPr>
        <w:spacing w:before="240" w:after="240"/>
        <w:rPr>
          <w:lang w:val="el" w:eastAsia="el"/>
        </w:rPr>
      </w:pPr>
      <w:r>
        <w:rPr>
          <w:lang w:val="el" w:eastAsia="el"/>
        </w:rPr>
        <w:t>έχει όπως τα συνημμένα υποδείγματα, τα οποία αποτελούν αναπόσπαστο μέρος της παρούσας.</w:t>
      </w:r>
    </w:p>
    <w:p>
      <w:pPr>
        <w:spacing w:before="240" w:after="240"/>
        <w:rPr>
          <w:lang w:val="el" w:eastAsia="el"/>
        </w:rPr>
      </w:pPr>
      <w:r>
        <w:rPr>
          <w:lang w:val="el" w:eastAsia="el"/>
        </w:rPr>
        <w:t>Η υποβολή των παραπάνω δηλώσεων για τα φορολογικά έτη 2020 και 2021 γίνεται χειρόγραφα αποκλειστικά στην Δ.Ο.Υ. Πλοίων Πειραιά και γίνεται άμεσος προσδιορισμός του φόρου σύμφωνα με την παρ. 1 του άρθρου 31 ΚΦΔ.</w:t>
      </w:r>
    </w:p>
    <w:p>
      <w:pPr>
        <w:spacing w:before="240" w:after="240"/>
        <w:rPr>
          <w:lang w:val="el" w:eastAsia="el"/>
        </w:rPr>
      </w:pPr>
      <w:r>
        <w:rPr>
          <w:lang w:val="el" w:eastAsia="el"/>
        </w:rPr>
        <w:t>Εξαιρετικά οι δηλώσεις για το φορολογικό έτος 2020 υποβάλλονται χωρίς κυρώσεις μέχρι την προθεσμία υποβολής των δηλώσεων του φορολογικού έτους 2021, η οποία προβλέπεται για τις δηλώσεις φόρου πλοίων πρώτης κατηγορίας στις διατάξεις των άρθρων 14 και 19 του ν. 27/1975.</w:t>
      </w:r>
    </w:p>
    <w:p>
      <w:pPr>
        <w:spacing w:before="240" w:after="240"/>
        <w:rPr>
          <w:lang w:val="el" w:eastAsia="el"/>
        </w:rPr>
      </w:pPr>
      <w:r>
        <w:rPr>
          <w:lang w:val="el" w:eastAsia="el"/>
        </w:rPr>
        <w:t>Τα ποσά του φόρου πλοίων που βεβαιώνονται από την υποβολή των παραπάνω δηλώσεων καταχωρούνται στον ίδιο ΑΛΕ και στα ίδια είδη φόρου με αυτά των δηλώσεων της πρώτης κατηγορίας πλοίων με σημαία ελληνική, ξένη ή Ε.Ε. και Ε.Ο.Χ. πλην της ελληνικής του ν. 27/1975 αντίστοιχα.</w:t>
      </w:r>
    </w:p>
    <w:p>
      <w:pPr>
        <w:spacing w:before="240" w:after="240"/>
        <w:rPr>
          <w:lang w:val="el" w:eastAsia="el"/>
        </w:rPr>
      </w:pPr>
      <w:r>
        <w:rPr>
          <w:b/>
          <w:bCs/>
          <w:lang w:val="el" w:eastAsia="el"/>
        </w:rPr>
        <w:t xml:space="preserve">Β. </w:t>
      </w:r>
      <w:r>
        <w:rPr>
          <w:lang w:val="el" w:eastAsia="el"/>
        </w:rPr>
        <w:t>Ο τύπος και το περιεχόμενο της πράξης διοικητικού προσδιορισμού φόρου πλοίων δεύτερης κατηγορίας του ν. 27/1975, όπως ισχύει μετά την προσθήκη του άρθρου 26β με τις διατάξεις του άρθρου 61 του ν. 4646/2019, αναφορικά με τον υπολογισμό και τη βεβαίωση του φόρου αυτού, στις περιπτώσεις ναύλωσης γυμνού πλοίου (bareboat charterer) και χρηματοδοτικής μίσθωσης πλοίου (ship lessee) που νηολογούνται:</w:t>
      </w:r>
    </w:p>
    <w:p>
      <w:pPr>
        <w:pStyle w:val="StructureList1"/>
        <w:spacing w:before="120" w:after="0"/>
        <w:rPr>
          <w:lang w:val="el" w:eastAsia="el"/>
        </w:rPr>
      </w:pPr>
      <w:r>
        <w:rPr>
          <w:lang w:val="el" w:eastAsia="el"/>
        </w:rPr>
        <w:t>α)</w:t>
      </w:r>
      <w:r>
        <w:rPr>
          <w:lang w:val="en" w:eastAsia="en"/>
        </w:rPr>
        <w:tab/>
      </w:r>
      <w:r>
        <w:rPr>
          <w:lang w:val="el" w:eastAsia="el"/>
        </w:rPr>
        <w:t>με ελληνική σημαία (Υπόδειγμα 5) και</w:t>
      </w:r>
    </w:p>
    <w:p>
      <w:pPr>
        <w:pStyle w:val="StructureList1"/>
        <w:spacing w:before="120" w:after="0"/>
        <w:rPr>
          <w:lang w:val="el" w:eastAsia="el"/>
        </w:rPr>
      </w:pPr>
      <w:r>
        <w:rPr>
          <w:lang w:val="el" w:eastAsia="el"/>
        </w:rPr>
        <w:t>β)</w:t>
      </w:r>
      <w:r>
        <w:rPr>
          <w:lang w:val="en" w:eastAsia="en"/>
        </w:rPr>
        <w:tab/>
      </w:r>
      <w:r>
        <w:rPr>
          <w:lang w:val="el" w:eastAsia="el"/>
        </w:rPr>
        <w:t>με σημαία Ε.Ε και Ε.Ο.Χ. πλην της ελληνικής (Υπόδειγμα 6)</w:t>
      </w:r>
    </w:p>
    <w:p>
      <w:pPr>
        <w:spacing w:before="240" w:after="240"/>
        <w:rPr>
          <w:lang w:val="el" w:eastAsia="el"/>
        </w:rPr>
      </w:pPr>
      <w:r>
        <w:rPr>
          <w:lang w:val="el" w:eastAsia="el"/>
        </w:rPr>
        <w:t>και αφορούν την εκμετάλλευση πλοίων από 1/1/2020 και μετά, έχει όπως τα συνημμένα υποδείγματα τα οποία αποτελούν αναπόσπαστο μέρος της παρούσας.</w:t>
      </w:r>
    </w:p>
    <w:p>
      <w:pPr>
        <w:spacing w:before="240" w:after="240"/>
        <w:rPr>
          <w:lang w:val="el" w:eastAsia="el"/>
        </w:rPr>
      </w:pPr>
      <w:r>
        <w:rPr>
          <w:lang w:val="el" w:eastAsia="el"/>
        </w:rPr>
        <w:t>Η έκδοση πράξης διοικητικού προσδιορισμού και η καταβολή του φόρου για τις παραπάνω περιπτώσεις γίνεται σύμφωνα με τις διατάξεις του άρθρου 17 του ν. 27/1975. Τα ποσά του φόρου πλοίων που βεβαιώνονται από τις παραπάνω πράξεις καταχωρούνται στον ίδιο ΑΛΕ και στα ίδια είδη φόρου με αυτά των περιπτώσεων της δεύτερης κατηγορίας πλοίων με σημαία ελληνική ή Ε.Ε. και Ε.Ο.Χ. πλην της ελληνικής του ν. 27/1975 αντίστοιχα.</w:t>
      </w:r>
    </w:p>
    <w:p>
      <w:pPr>
        <w:spacing w:before="240" w:after="240"/>
        <w:rPr>
          <w:lang w:val="el" w:eastAsia="el"/>
        </w:rPr>
      </w:pPr>
      <w:r>
        <w:rPr>
          <w:b/>
          <w:bCs/>
          <w:lang w:val="el" w:eastAsia="el"/>
        </w:rPr>
        <w:t xml:space="preserve">Γ. </w:t>
      </w: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ΣΥΝΗΜΜΕΝΑ:</w:t>
      </w:r>
      <w:r>
        <w:rPr>
          <w:b/>
          <w:bCs/>
          <w:lang w:val="el" w:eastAsia="el"/>
        </w:rPr>
        <w:t>Τα υποδείγματα 1, 2, 3, 4, 5 και 6 της παρούσας.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2)</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4. Ηλεκτρονική Βιβλιοθήκη</w:t>
      </w:r>
    </w:p>
    <w:p>
      <w:pPr>
        <w:spacing w:before="240" w:after="240"/>
        <w:rPr>
          <w:lang w:val="el" w:eastAsia="el"/>
        </w:rPr>
      </w:pPr>
      <w:r>
        <w:rPr>
          <w:b/>
          <w:bCs/>
          <w:lang w:val="el" w:eastAsia="el"/>
        </w:rPr>
        <w:t>5. 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Γεν. Γραμ. Φορολογικής Πολιτικής και Δημόσιας Περιουσίας</w:t>
      </w:r>
    </w:p>
    <w:p>
      <w:pPr>
        <w:spacing w:before="240" w:after="240"/>
        <w:rPr>
          <w:lang w:val="el" w:eastAsia="el"/>
        </w:rPr>
      </w:pPr>
      <w:r>
        <w:rPr>
          <w:b/>
          <w:bCs/>
          <w:lang w:val="el" w:eastAsia="el"/>
        </w:rPr>
        <w:t>4. Αποδέκτες πινάκων Α΄, Β΄ (εκτός των αριθ. 1 και 2 αυτού), Ζ΄, Η΄ (πλην 4,10 και 11) Θ΄, Ι΄ ΙΒ΄( τα 5 και 7), ΙΣΤ΄(το 2) και ΚΓ΄</w:t>
      </w:r>
    </w:p>
    <w:p>
      <w:pPr>
        <w:spacing w:before="240" w:after="240"/>
        <w:rPr>
          <w:lang w:val="el" w:eastAsia="el"/>
        </w:rPr>
      </w:pPr>
      <w:r>
        <w:rPr>
          <w:b/>
          <w:bCs/>
          <w:lang w:val="el" w:eastAsia="el"/>
        </w:rPr>
        <w:t>5. ΔΤΔ-Εγκεκριμένοι Οικονομικοί Φορείς</w:t>
      </w:r>
    </w:p>
    <w:p>
      <w:pPr>
        <w:spacing w:before="240" w:after="240"/>
        <w:rPr>
          <w:lang w:val="el" w:eastAsia="el"/>
        </w:rPr>
      </w:pPr>
      <w:r>
        <w:rPr>
          <w:b/>
          <w:bCs/>
          <w:lang w:val="el" w:eastAsia="el"/>
        </w:rPr>
        <w:t>6. 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7.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8. ΠΕΡΙΟΔΙΚΟ «ΦΟΡΟΛΟΓΙΚΗ ΕΠΙΘΕΩΡΗΣΗ»</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κας Γεν. Διευθύντριας Φορολογικής Διοίκησης</w:t>
      </w:r>
    </w:p>
    <w:p>
      <w:pPr>
        <w:spacing w:before="240" w:after="240"/>
        <w:rPr>
          <w:lang w:val="el" w:eastAsia="el"/>
        </w:rPr>
      </w:pPr>
      <w:r>
        <w:rPr>
          <w:b/>
          <w:bCs/>
          <w:lang w:val="el" w:eastAsia="el"/>
        </w:rPr>
        <w:t>3. Γραφεία κ. κ. Γενικών Δ/ντών</w:t>
      </w:r>
    </w:p>
    <w:p>
      <w:pPr>
        <w:spacing w:before="240" w:after="240"/>
        <w:rPr>
          <w:lang w:val="el" w:eastAsia="el"/>
        </w:rPr>
      </w:pPr>
      <w:r>
        <w:rPr>
          <w:b/>
          <w:bCs/>
          <w:lang w:val="el" w:eastAsia="el"/>
        </w:rPr>
        <w:t>4. Διεύθυνση Νομικής Υποστήριξης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Γραφείο Προϊσταμένου Διεύθυνσης Εφαρμογής Άμεσης Φορολογίας</w:t>
      </w:r>
    </w:p>
    <w:p>
      <w:pPr>
        <w:spacing w:before="240" w:after="240"/>
        <w:rPr>
          <w:lang w:val="el" w:eastAsia="el"/>
        </w:rPr>
      </w:pPr>
      <w:r>
        <w:rPr>
          <w:b/>
          <w:bCs/>
          <w:lang w:val="el" w:eastAsia="el"/>
        </w:rPr>
        <w:t>7. 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