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 ΔΙΕΥΘΥΝΣΗ ΔΑΣΜΟΛΟΓΙΚΩΝ ΘΕΜΑΤΩΝ, ΕΙΔΙΚΩΝ ΚΑΘΕΣΤΩΤΩΝ &amp; ΑΠΑΛΛΑΓΩΝ 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5"/>
        <w:gridCol w:w="65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 Τηλέφωνο 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 Σερβίας 10 101 84 - Αθήνα Δ. Τσετσέκου 210 6987509 210 6987506 </w:t>
            </w:r>
            <w:hyperlink r:id="rId4" w:history="1">
              <w:r>
                <w:rPr>
                  <w:rStyle w:val="Hyperlink"/>
                  <w:b w:val="0"/>
                  <w:bCs w:val="0"/>
                  <w:i w:val="0"/>
                  <w:iCs w:val="0"/>
                  <w:smallCaps w:val="0"/>
                  <w:color w:val="0000EE"/>
                  <w:u w:color="0000EE"/>
                  <w:lang w:val="el" w:eastAsia="el"/>
                </w:rPr>
                <w:t>ipr@otenet.gr</w:t>
              </w:r>
            </w:hyperlink>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Θέμα: Επέκταση των ορίων της Ελεύθερης Ζώνης του Λιμένα Θεσσαλονίκης</w:t>
      </w:r>
    </w:p>
    <w:p>
      <w:pPr>
        <w:pStyle w:val="enacting"/>
        <w:spacing w:before="120" w:after="0"/>
        <w:rPr>
          <w:lang w:val="el" w:eastAsia="el"/>
        </w:rPr>
      </w:pPr>
      <w:r>
        <w:rPr>
          <w:b/>
          <w:bCs/>
          <w:lang w:val="el" w:eastAsia="el"/>
        </w:rPr>
        <w:t>ΑΠΟΦΑΣΗ</w:t>
      </w:r>
      <w:r>
        <w:rPr>
          <w:lang w:val="el" w:eastAsia="el"/>
        </w:rPr>
        <w:br/>
      </w:r>
      <w:r>
        <w:rPr>
          <w:b/>
          <w:bCs/>
          <w:lang w:val="el" w:eastAsia="el"/>
        </w:rPr>
        <w:t>Ο</w:t>
      </w:r>
      <w:r>
        <w:rPr>
          <w:lang w:val="el" w:eastAsia="el"/>
        </w:rPr>
        <w:br/>
      </w:r>
      <w:r>
        <w:rPr>
          <w:b/>
          <w:bCs/>
          <w:lang w:val="el" w:eastAsia="el"/>
        </w:rPr>
        <w:t>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b/>
          <w:bCs/>
          <w:lang w:val="el" w:eastAsia="el"/>
        </w:rPr>
        <w:t xml:space="preserve">1. </w:t>
      </w:r>
      <w:r>
        <w:rPr>
          <w:lang w:val="el" w:eastAsia="el"/>
        </w:rPr>
        <w:t>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PreambelText"/>
        <w:spacing w:before="240" w:after="240"/>
        <w:rPr>
          <w:lang w:val="el" w:eastAsia="el"/>
        </w:rPr>
      </w:pPr>
      <w:r>
        <w:rPr>
          <w:lang w:val="el" w:eastAsia="el"/>
        </w:rPr>
        <w:t>β)Τις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ν.2960/2001 «Εθνικός Τελωνειακός Κώδικας» (ΦΕΚ 265/Α/2001), όπως τροποποιήθηκε και ισχύει, και ειδικότερα το άρθρο 39 αυτού.</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αριθ. ΔΔΘΕΚΑ Δ 1144720ΕΞ2018/27.09.2018 Απόφασης Διοικητή της Ανεξάρτητης Αρχής Δημοσίων Εσόδων «Ίδρυση και λειτουργία των Ελευθέρων Ζωνών”, όπως ισχύει.</w:t>
      </w:r>
    </w:p>
    <w:p>
      <w:pPr>
        <w:pStyle w:val="StructureList1"/>
        <w:spacing w:before="120" w:after="0"/>
        <w:rPr>
          <w:lang w:val="el" w:eastAsia="el"/>
        </w:rPr>
      </w:pPr>
      <w:r>
        <w:rPr>
          <w:lang w:val="el" w:eastAsia="el"/>
        </w:rPr>
        <w:t>ζ)</w:t>
      </w:r>
      <w:r>
        <w:rPr>
          <w:lang w:val="en" w:eastAsia="en"/>
        </w:rPr>
        <w:tab/>
      </w:r>
      <w:r>
        <w:rPr>
          <w:lang w:val="el" w:eastAsia="el"/>
        </w:rPr>
        <w:t>Τον Ν.390/20-11-1914 (ΦΕΚ342/22-11-1914) «Περί Ελευθέρας Ζώνης εν Θεσσαλονίκη» με τον οποίο ιδρύθηκε η Ελεύθερη Ζώνη Θεσσαλονίκης, όπως ισχύει.</w:t>
      </w:r>
    </w:p>
    <w:p>
      <w:pPr>
        <w:pStyle w:val="StructureList1"/>
        <w:spacing w:before="120" w:after="0"/>
        <w:rPr>
          <w:lang w:val="el" w:eastAsia="el"/>
        </w:rPr>
      </w:pPr>
      <w:r>
        <w:rPr>
          <w:lang w:val="el" w:eastAsia="el"/>
        </w:rPr>
        <w:t>η)</w:t>
      </w:r>
      <w:r>
        <w:rPr>
          <w:lang w:val="en" w:eastAsia="en"/>
        </w:rPr>
        <w:tab/>
      </w:r>
      <w:r>
        <w:rPr>
          <w:lang w:val="el" w:eastAsia="el"/>
        </w:rPr>
        <w:t>Την αριθ. Θ.1995/102/Γ0019/30-12-1994 ΑΥΟ με την οποία καθορίστηκαν τα όρια της Ελεύθερης Ζώνης του Λιμένα Θεσσαλονίκης.</w:t>
      </w:r>
    </w:p>
    <w:p>
      <w:pPr>
        <w:pStyle w:val="StructureList1"/>
        <w:spacing w:before="120" w:after="0"/>
        <w:rPr>
          <w:lang w:val="el" w:eastAsia="el"/>
        </w:rPr>
      </w:pPr>
      <w:r>
        <w:rPr>
          <w:lang w:val="el" w:eastAsia="el"/>
        </w:rPr>
        <w:t>θ)</w:t>
      </w:r>
      <w:r>
        <w:rPr>
          <w:lang w:val="en" w:eastAsia="en"/>
        </w:rPr>
        <w:tab/>
      </w:r>
      <w:r>
        <w:rPr>
          <w:lang w:val="el" w:eastAsia="el"/>
        </w:rPr>
        <w:t>Τις αριθ. Τ.3538/32/Γ0019/26-08-2002 ΑΥΟΟ, Ο.894/7 π.ε/11-03-2008 ΑΥΟΟ και Δ19Γ 5031052 ΕΞ2011/13-07-11 ΑΥΟ με τις οποίες τροποποιήθηκαν τα όρια της Ελεύθερης Ζώνης του Λιμένα Θεσσαλονίκης.</w:t>
      </w:r>
    </w:p>
    <w:p>
      <w:pPr>
        <w:pStyle w:val="StructureList1"/>
        <w:spacing w:before="120" w:after="0"/>
        <w:rPr>
          <w:lang w:val="el" w:eastAsia="el"/>
        </w:rPr>
      </w:pPr>
      <w:r>
        <w:rPr>
          <w:lang w:val="el" w:eastAsia="el"/>
        </w:rPr>
        <w:t>ι)</w:t>
      </w:r>
      <w:r>
        <w:rPr>
          <w:lang w:val="en" w:eastAsia="en"/>
        </w:rPr>
        <w:tab/>
      </w:r>
      <w:r>
        <w:rPr>
          <w:lang w:val="el" w:eastAsia="el"/>
        </w:rPr>
        <w:t>Τις αριθ.1582/17-06-2020 και 2424/23-11-2020 αιτήσεις του Οργανισμού Λιμένος Θεσσαλονίκης ΑΕ, ως Φορέα Διαχείρισης της Ελεύθερης Ζώνης του Λιμένα Θεσσαλονίκης, με τις οποίες αιτείται επέκταση των ορίων της Ελεύθερης Ζώνης.</w:t>
      </w:r>
    </w:p>
    <w:p>
      <w:pPr>
        <w:pStyle w:val="StructureList1"/>
        <w:spacing w:before="120" w:after="0"/>
        <w:rPr>
          <w:lang w:val="el" w:eastAsia="el"/>
        </w:rPr>
      </w:pPr>
      <w:r>
        <w:rPr>
          <w:lang w:val="el" w:eastAsia="el"/>
        </w:rPr>
        <w:t>ια)</w:t>
      </w:r>
      <w:r>
        <w:rPr>
          <w:lang w:val="en" w:eastAsia="en"/>
        </w:rPr>
        <w:tab/>
      </w:r>
      <w:r>
        <w:rPr>
          <w:lang w:val="el" w:eastAsia="el"/>
        </w:rPr>
        <w:t>Τα αριθ. 56431/15-12-2020 και 57069/18-12-2020 έγγραφα του Α΄ Τελωνείου Θεσσαλονίκης, ως τελωνείο ελέγχου, με τα οποία διαβιβάζονται οι αυτοψίες που έχουν πραγματοποιηθεί στον προτεινόμενο χώρο επέκτασης των ορίων της Ελεύθερης Ζώνης του Λιμένα Θεσσαλονίκης.</w:t>
      </w:r>
    </w:p>
    <w:p>
      <w:pPr>
        <w:pStyle w:val="StructureList1"/>
        <w:spacing w:before="120" w:after="0"/>
        <w:rPr>
          <w:lang w:val="el" w:eastAsia="el"/>
        </w:rPr>
      </w:pPr>
      <w:r>
        <w:rPr>
          <w:lang w:val="el" w:eastAsia="el"/>
        </w:rPr>
        <w:t>ιβ)</w:t>
      </w:r>
      <w:r>
        <w:rPr>
          <w:lang w:val="en" w:eastAsia="en"/>
        </w:rPr>
        <w:tab/>
      </w:r>
      <w:r>
        <w:rPr>
          <w:lang w:val="el" w:eastAsia="el"/>
        </w:rPr>
        <w:t>Το αριθ. 58131/31-12-2020 έγγραφο του Α΄ Τελωνείου Θεσσαλονίκης με το οποίο διατυπώνεται η συναίνεση του τελωνείου για την επέκταση των ορίων της Ελεύθερης Ζώνης και διαβιβάζεται η τελική αυτοψία μετά την ολοκλήρωση των απαιτούμενων εργασιών διαμόρφωσης του προτεινόμενου χώρου.</w:t>
      </w:r>
    </w:p>
    <w:p>
      <w:pPr>
        <w:pStyle w:val="StructureList1"/>
        <w:spacing w:before="120" w:after="0"/>
        <w:rPr>
          <w:lang w:val="el" w:eastAsia="el"/>
        </w:rPr>
      </w:pPr>
      <w:r>
        <w:rPr>
          <w:lang w:val="el" w:eastAsia="el"/>
        </w:rPr>
        <w:t>ιγ)</w:t>
      </w:r>
      <w:r>
        <w:rPr>
          <w:lang w:val="en" w:eastAsia="en"/>
        </w:rPr>
        <w:tab/>
      </w:r>
      <w:r>
        <w:rPr>
          <w:lang w:val="el" w:eastAsia="el"/>
        </w:rPr>
        <w:t>Το αριθ. 6885/22-2-2021 έγγραφο του Α΄ Τελωνείου Θεσσαλονίκης με το οποίο υποβάλλονται ως συμπληρωματικά στοιχεία, τα σχετικά πιστοποιητικά πυροπροστασίας που αφορούν αποθήκες εντός του χώρου της προτεινόμενης επέκτασης.</w:t>
      </w:r>
    </w:p>
    <w:p>
      <w:pPr>
        <w:pStyle w:val="StructureList1"/>
        <w:spacing w:before="120" w:after="0"/>
        <w:rPr>
          <w:lang w:val="el" w:eastAsia="el"/>
        </w:rPr>
      </w:pPr>
      <w:r>
        <w:rPr>
          <w:lang w:val="el" w:eastAsia="el"/>
        </w:rPr>
        <w:t>ιδ)</w:t>
      </w:r>
      <w:r>
        <w:rPr>
          <w:lang w:val="en" w:eastAsia="en"/>
        </w:rPr>
        <w:tab/>
      </w:r>
      <w:r>
        <w:rPr>
          <w:lang w:val="el" w:eastAsia="el"/>
        </w:rPr>
        <w:t>Το Κεφάλαιο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ιε)</w:t>
      </w:r>
      <w:r>
        <w:rPr>
          <w:lang w:val="en" w:eastAsia="en"/>
        </w:rPr>
        <w:tab/>
      </w:r>
      <w:r>
        <w:rPr>
          <w:lang w:val="el" w:eastAsia="el"/>
        </w:rPr>
        <w:t>Την αριθ. Δ. ΟΡΓ. Α 1125859 ΕΞ 2020/23-10-2020 (Β΄4738)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 39/3/30-11-2017 (Υ.Ο.Δ.Δ. 689) απόφαση του Συμβουλίου Διοίκησης της Α.Α.Δ.Ε. «Ανανέωση θητείας του Διοικητή της Ανεξάρτητης Αρχής Δημοσίων Εσόδων» καθώς και την αριθ. 5294 ΕΞ2020/17-01- 2020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Εγκρίνεται η επέκταση της Ελεύθερης Ζώνης του Λιμένα Θεσσαλονίκης με την προσθήκη χώρου συνολικού εμβαδού 35.000 τ.μ. ο οποίος οριοθετείται από τα σημεία 1,2,3,4,5,6,7,8,9,L1,L2,L3,L4,L5,L6,L7,L8,L,M,N,J,O,P,R,S,T,Y,AA,DA,F,Fa,e’,e1,k,l,m,n1,n2,n3,n4,n5,n6, n7,n8,n9,n10,o,o1,o2,o3,18,19,20,21,22,23,24,25,26,27,28,29,30,1 του συνημμένου τοπογραφικού διαγράμματος.</w:t>
      </w:r>
    </w:p>
    <w:p>
      <w:pPr>
        <w:pStyle w:val="MainText"/>
        <w:spacing w:before="120" w:after="0"/>
        <w:rPr>
          <w:lang w:val="el" w:eastAsia="el"/>
        </w:rPr>
      </w:pPr>
      <w:r>
        <w:rPr>
          <w:b/>
          <w:bCs/>
          <w:lang w:val="el" w:eastAsia="el"/>
        </w:rPr>
        <w:t>2.</w:t>
      </w:r>
      <w:r>
        <w:rPr>
          <w:lang w:val="el" w:eastAsia="el"/>
        </w:rPr>
        <w:t xml:space="preserve"> Με απόφασή του το Α΄ Τελωνείο Θεσσαλονίκης ως τελωνείο ελέγχου της Ελεύθερης Ζώνης, καθορίζει την ημερομηνία έναρξης εφαρμογής των διατάξεων που διέπουν τη λειτουργία της Ελεύθερης Ζώνης του Λιμένα Θεσσαλονίκης και στο τμήμα της επέκτασης.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w:t>
      </w: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να δημοσιευτεί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ισχύει από τη δημοσίευσή της στην Εφημερίδα της Κυβερνήσεως</w:t>
      </w:r>
    </w:p>
    <w:p>
      <w:pPr>
        <w:spacing w:before="240" w:after="240"/>
        <w:rPr>
          <w:lang w:val="el" w:eastAsia="el"/>
        </w:rPr>
      </w:pPr>
      <w:r>
        <w:rPr>
          <w:b/>
          <w:bCs/>
          <w:lang w:val="el" w:eastAsia="el"/>
        </w:rPr>
        <w:t>O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Κοινοποίηση</w:t>
      </w:r>
      <w:r>
        <w:rPr>
          <w:b/>
          <w:bCs/>
          <w:lang w:val="el" w:eastAsia="el"/>
        </w:rPr>
        <w:t>:</w:t>
      </w:r>
    </w:p>
    <w:p>
      <w:pPr>
        <w:spacing w:before="240" w:after="240"/>
        <w:rPr>
          <w:lang w:val="el" w:eastAsia="el"/>
        </w:rPr>
      </w:pPr>
      <w:r>
        <w:rPr>
          <w:lang w:val="el" w:eastAsia="el"/>
        </w:rPr>
        <w:t>Εθνικό Τυπογραφείο (για δημοσίευση κατά προτεραιότητα)</w:t>
      </w:r>
    </w:p>
    <w:p>
      <w:pPr>
        <w:spacing w:before="240" w:after="240"/>
        <w:rPr>
          <w:lang w:val="el" w:eastAsia="el"/>
        </w:rPr>
      </w:pPr>
      <w:r>
        <w:rPr>
          <w:b/>
          <w:bCs/>
          <w:u w:val="single"/>
          <w:lang w:val="el" w:eastAsia="el"/>
        </w:rPr>
        <w:t>Εσωτερική διανομή</w:t>
      </w:r>
      <w:r>
        <w:rPr>
          <w:b/>
          <w:bCs/>
          <w:lang w:val="el" w:eastAsia="el"/>
        </w:rPr>
        <w:t>:</w:t>
      </w:r>
    </w:p>
    <w:p>
      <w:pPr>
        <w:pStyle w:val="MainText"/>
        <w:spacing w:before="120" w:after="0"/>
        <w:rPr>
          <w:lang w:val="el" w:eastAsia="el"/>
        </w:rPr>
      </w:pPr>
      <w:r>
        <w:rPr>
          <w:b/>
          <w:bCs/>
          <w:lang w:val="el" w:eastAsia="el"/>
        </w:rPr>
        <w:t>1.</w:t>
      </w:r>
      <w:r>
        <w:rPr>
          <w:lang w:val="el" w:eastAsia="el"/>
        </w:rPr>
        <w:t xml:space="preserve"> Γραφείο Διοικητή της Ανεξάρτητης Αρχής Δημοσίων Εσόδων κ. Πιτσιλή</w:t>
      </w:r>
    </w:p>
    <w:p>
      <w:pPr>
        <w:pStyle w:val="MainText"/>
        <w:spacing w:before="120" w:after="0"/>
        <w:rPr>
          <w:lang w:val="el" w:eastAsia="el"/>
        </w:rPr>
      </w:pPr>
      <w:r>
        <w:rPr>
          <w:b/>
          <w:bCs/>
          <w:lang w:val="el" w:eastAsia="el"/>
        </w:rPr>
        <w:t>2.</w:t>
      </w:r>
      <w:r>
        <w:rPr>
          <w:lang w:val="el" w:eastAsia="el"/>
        </w:rPr>
        <w:t xml:space="preserve"> Γραφείο Γενικού Δ/ντή Τελωνείων &amp; Ε.Φ.Κ. κ. Μουρτίδη</w:t>
      </w:r>
    </w:p>
    <w:p>
      <w:pPr>
        <w:pStyle w:val="MainText"/>
        <w:spacing w:before="120" w:after="0"/>
        <w:rPr>
          <w:lang w:val="el" w:eastAsia="el"/>
        </w:rPr>
      </w:pPr>
      <w:r>
        <w:rPr>
          <w:b/>
          <w:bCs/>
          <w:lang w:val="el" w:eastAsia="el"/>
        </w:rPr>
        <w:t>3.</w:t>
      </w:r>
      <w:r>
        <w:rPr>
          <w:lang w:val="el" w:eastAsia="el"/>
        </w:rPr>
        <w:t xml:space="preserve"> Δ/νση Δασμολογικών Θεμάτων Ειδικών Καθεστώτων και Απαλλαγών, Τμήμα Δ΄</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6.</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7.</w:t>
      </w:r>
      <w:r>
        <w:rPr>
          <w:lang w:val="el" w:eastAsia="el"/>
        </w:rPr>
        <w:t xml:space="preserve"> Γραφείο Γενικής Δ/ντριας Ηλεκτρονικής Διακυβέρνησης</w:t>
      </w:r>
    </w:p>
    <w:p>
      <w:pPr>
        <w:pStyle w:val="MainText"/>
        <w:spacing w:before="120" w:after="0"/>
        <w:rPr>
          <w:lang w:val="el" w:eastAsia="el"/>
        </w:rPr>
      </w:pPr>
      <w:r>
        <w:rPr>
          <w:b/>
          <w:bCs/>
          <w:lang w:val="el" w:eastAsia="el"/>
        </w:rPr>
        <w:t>8.</w:t>
      </w:r>
      <w:r>
        <w:rPr>
          <w:lang w:val="el" w:eastAsia="el"/>
        </w:rPr>
        <w:t xml:space="preserve"> Δ/νση Επιχειρησιακών Διαδικασιών</w:t>
      </w:r>
    </w:p>
    <w:p>
      <w:pPr>
        <w:pStyle w:val="MainText"/>
        <w:spacing w:before="120" w:after="0"/>
        <w:rPr>
          <w:lang w:val="el" w:eastAsia="el"/>
        </w:rPr>
      </w:pPr>
      <w:r>
        <w:rPr>
          <w:b/>
          <w:bCs/>
          <w:lang w:val="el" w:eastAsia="el"/>
        </w:rPr>
        <w:t>9.</w:t>
      </w:r>
      <w:r>
        <w:rPr>
          <w:lang w:val="el" w:eastAsia="el"/>
        </w:rPr>
        <w:t xml:space="preserve"> Δ/νση Ανάπτυξης Τελωνειακών, Ελεγκτικών και Επιχ/κων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pr@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