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 ΤΜΗΜΑ Γ΄</w:t>
      </w:r>
    </w:p>
    <w:p>
      <w:pPr>
        <w:pStyle w:val="PreambelText"/>
        <w:spacing w:before="240" w:after="240"/>
        <w:rPr>
          <w:lang w:val="el" w:eastAsia="el"/>
        </w:rPr>
      </w:pPr>
      <w:r>
        <w:rPr>
          <w:lang w:val="el" w:eastAsia="el"/>
        </w:rPr>
        <w:t xml:space="preserve">3) </w:t>
      </w:r>
      <w:r>
        <w:rPr>
          <w:b/>
          <w:bCs/>
          <w:lang w:val="el" w:eastAsia="el"/>
        </w:rPr>
        <w:t>ΔΙΕΥΘΥΝΣΗ ΥΠΗΡΕΣΙΩΝ ΔΕΔΟΜΕΝΩΝ ΤΜΗΜΑ Γ΄</w:t>
      </w:r>
    </w:p>
    <w:p>
      <w:pPr>
        <w:pStyle w:val="PreambelText"/>
        <w:spacing w:before="240" w:after="240"/>
        <w:rPr>
          <w:lang w:val="el" w:eastAsia="el"/>
        </w:rPr>
      </w:pPr>
      <w:r>
        <w:rPr>
          <w:lang w:val="el" w:eastAsia="el"/>
        </w:rPr>
        <w:t>Καρ. Σερβίας 10 101 84 Αθήνα</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«Καθορισμός των Κωδικών Αριθμών Δραστηριοτήτων (ΚΑΔ) των επιχειρήσεων για την εφαρμογή της περ. α΄ της παρ. 1 του άρθρου 480 του ν. 4781/2021, με τίτλο: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enacting"/>
        <w:spacing w:before="120" w:after="0"/>
        <w:rPr>
          <w:lang w:val="el" w:eastAsia="el"/>
        </w:rPr>
      </w:pPr>
      <w:r>
        <w:rPr>
          <w:b/>
          <w:bCs/>
          <w:lang w:val="el" w:eastAsia="el"/>
        </w:rPr>
        <w:t>ΑΠΟΦΑΣΗ</w:t>
      </w:r>
      <w:r>
        <w:rPr>
          <w:lang w:val="el" w:eastAsia="el"/>
        </w:rPr>
        <w:br/>
      </w:r>
      <w:r>
        <w:rPr>
          <w:b/>
          <w:bCs/>
          <w:lang w:val="el" w:eastAsia="el"/>
        </w:rPr>
        <w:t>Ο ΑΝΑΠΛΗΡΩΤΗΣ ΥΠΟΥΡΓΟΣΚΑΙ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480 και ιδίως την περ. α΄ της παρ. 1 του ν. 4781/2021 (Α΄ 31).</w:t>
      </w:r>
    </w:p>
    <w:p>
      <w:pPr>
        <w:pStyle w:val="PreambelText"/>
        <w:spacing w:before="240" w:after="240"/>
        <w:rPr>
          <w:lang w:val="el" w:eastAsia="el"/>
        </w:rPr>
      </w:pPr>
      <w:r>
        <w:rPr>
          <w:lang w:val="el" w:eastAsia="el"/>
        </w:rPr>
        <w:t>2. Τις διατάξεις του ν. 4174/2013 (Α΄ 170 -Κ.Φ.Δ.), όπως ισχύουν.</w:t>
      </w:r>
    </w:p>
    <w:p>
      <w:pPr>
        <w:pStyle w:val="PreambelText"/>
        <w:spacing w:before="240" w:after="240"/>
        <w:rPr>
          <w:lang w:val="el" w:eastAsia="el"/>
        </w:rPr>
      </w:pPr>
      <w:r>
        <w:rPr>
          <w:lang w:val="el" w:eastAsia="el"/>
        </w:rPr>
        <w:t>3. Τις διατάξεις του άρθρου 40 του ν. 3259/2004 (Α’ 149), όπως ισχύουν.</w:t>
      </w:r>
    </w:p>
    <w:p>
      <w:pPr>
        <w:pStyle w:val="PreambelText"/>
        <w:spacing w:before="240" w:after="240"/>
        <w:rPr>
          <w:lang w:val="el" w:eastAsia="el"/>
        </w:rPr>
      </w:pPr>
      <w:r>
        <w:rPr>
          <w:lang w:val="el" w:eastAsia="el"/>
        </w:rPr>
        <w:t>4. Το π.δ. 142/2017 «Οργανισμός Υπουργείου Οικονομικών» (Α΄ 181), όπως ισχύει.</w:t>
      </w:r>
    </w:p>
    <w:p>
      <w:pPr>
        <w:pStyle w:val="PreambelText"/>
        <w:spacing w:before="240" w:after="240"/>
        <w:rPr>
          <w:lang w:val="el" w:eastAsia="el"/>
        </w:rPr>
      </w:pPr>
      <w:r>
        <w:rPr>
          <w:lang w:val="el" w:eastAsia="el"/>
        </w:rPr>
        <w:t>5. Το άρθρο 90 του π.δ. 63/2005 «Κωδικοποίηση της νομοθεσίας για την Κυβέρνηση και τα κυβερνητικά όργανα» (Α’ 98), όπως ισχύει.</w:t>
      </w:r>
    </w:p>
    <w:p>
      <w:pPr>
        <w:pStyle w:val="PreambelText"/>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pStyle w:val="PreambelText"/>
        <w:spacing w:before="240" w:after="240"/>
        <w:rPr>
          <w:lang w:val="el" w:eastAsia="el"/>
        </w:rPr>
      </w:pPr>
      <w:r>
        <w:rPr>
          <w:lang w:val="el" w:eastAsia="el"/>
        </w:rPr>
        <w:t>12.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(Α.Α.Δ.Ε.) «Ανανέωση της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13. Την ανάγκη καθορισμού των Κωδικών Αριθμών Δραστηριοτήτων (ΚΑΔ) των επιχειρήσεων που εμπίπτουν στο πεδίο εφαρμογής της περ. α΄ της παρ. 1 του άρθρου 480 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14. Την υπό στοιχεία Α.1022/09.02.2021 (Β΄ 516) απόφαση, δυνάμει της οποίας προσδιορίστηκαν οι Κωδικοί Αριθμοί Δραστηριότητας (ΚΑΔ) των επιχειρήσεων που εμπίπτουν στο πεδίο εφαρμογής της περ. α΄ της παρ. 1 του άρθρου 28 του ν. 4772/2021 (Α' 17).</w:t>
      </w:r>
    </w:p>
    <w:p>
      <w:pPr>
        <w:pStyle w:val="PreambelText"/>
        <w:spacing w:before="240" w:after="240"/>
        <w:rPr>
          <w:lang w:val="el" w:eastAsia="el"/>
        </w:rPr>
      </w:pPr>
      <w:r>
        <w:rPr>
          <w:lang w:val="el" w:eastAsia="el"/>
        </w:rPr>
        <w:t>15. Την εισήγηση του Διοικητή της ΑΑΔΕ.</w:t>
      </w:r>
    </w:p>
    <w:p>
      <w:pPr>
        <w:pStyle w:val="PreambelText"/>
        <w:spacing w:before="240" w:after="240"/>
        <w:rPr>
          <w:lang w:val="el" w:eastAsia="el"/>
        </w:rPr>
      </w:pPr>
      <w:r>
        <w:rPr>
          <w:lang w:val="el" w:eastAsia="el"/>
        </w:rPr>
        <w:t>16.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καθορίζονται οι Κωδικοί Αριθμοί Δραστηριότητας (ΚΑΔ), που εμπίπτουν στο πεδίο εφαρμογής της περ. α΄ της παρ. 1 του άρθρου 480 του ν. 4781/2021 (Α΄ 31), για την υπαγωγή, από την 1η.3.2021 και μέχρι την 31η.3.2021, αξιογράφων οφειλόμενων από επιχειρήσεις που,</w:t>
      </w:r>
    </w:p>
    <w:p>
      <w:pPr>
        <w:spacing w:before="240" w:after="240"/>
        <w:rPr>
          <w:lang w:val="el" w:eastAsia="el"/>
        </w:rPr>
      </w:pPr>
      <w:r>
        <w:rPr>
          <w:lang w:val="el" w:eastAsia="el"/>
        </w:rPr>
        <w:t>• είτε έχουν αναστείλει τη δραστηριότητά τους κατ’ εφαρμογή κανονιστικών πράξεων της Διοίκησης, με δραστηριότητα που εμπίπτει στους ΚΑΔ του συνημμένου Παραρτήματος 1, το οποίο αποτελεί αναπόσπαστο μέρος της παρούσας.</w:t>
      </w:r>
    </w:p>
    <w:p>
      <w:pPr>
        <w:spacing w:before="240" w:after="240"/>
        <w:rPr>
          <w:lang w:val="el" w:eastAsia="el"/>
        </w:rPr>
      </w:pPr>
      <w:r>
        <w:rPr>
          <w:lang w:val="el" w:eastAsia="el"/>
        </w:rPr>
        <w:t>• είτε έχουν πληγεί δραστικά από την πανδημία του κορωνοϊού COVID-19, με δραστηριότητα που εμπίπτει στους ΚΑΔ του συνημμένου Παραρτήματος 2, το οποίο αποτελεί αναπόσπαστο μέρος της παρούσας και εμφανίζουν μειωμένο κύκλο εργασιών μεγαλύτερο του 40% για την περίοδο Οκτωβρίου έως Δεκεμβρίου 2020, σε σχέση με την αντίστοιχη περίοδο έτους 2019.</w:t>
      </w:r>
    </w:p>
    <w:p>
      <w:pPr>
        <w:spacing w:before="240" w:after="240"/>
        <w:rPr>
          <w:lang w:val="el" w:eastAsia="el"/>
        </w:rPr>
      </w:pPr>
      <w:r>
        <w:rPr>
          <w:lang w:val="el" w:eastAsia="el"/>
        </w:rPr>
        <w:t>• είτε ιδρύθηκαν μετά την 1η.1.2020, με δραστηριότητα που εμπίπτει στους ΚΑΔ των συνημμένων Παραρτημάτων 1 και 2, τα οποία αποτελούν αναπόσπαστο μέρος της παρούσας, μη συνυπολογιζομένου του κύκλου εργασιών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 - Δικαιούχοι</w:t>
      </w:r>
    </w:p>
    <w:p>
      <w:pPr>
        <w:spacing w:before="240" w:after="240"/>
        <w:rPr>
          <w:lang w:val="el" w:eastAsia="el"/>
        </w:rPr>
      </w:pPr>
      <w:r>
        <w:rPr>
          <w:lang w:val="el" w:eastAsia="el"/>
        </w:rPr>
        <w:t>Από την 1η.3.2021 και μέχρι την 31η.3.2021, αναστέλλονται οι προθεσμίες λήξης, εμφάνισης και πληρωμής αξιογράφων, κατά εβδομήντα πέντε (75) ημέρες από την αναγραφόμενη ημερομηνία επί εκάστου αξιογράφου, οφειλόμενων από επιχειρήσεις του άρθρου 1 της παρούσας, οι οποίες πληρούσαν τις προϋποθέσεις υπαγωγής στην Α.1022/2021.</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τους Κωδικούς Αριθμούς Δραστηριότητας (ΚΑΔ) των επιχειρήσεων που,</w:t>
      </w:r>
    </w:p>
    <w:p>
      <w:pPr>
        <w:pStyle w:val="MainText"/>
        <w:spacing w:before="120" w:after="0"/>
        <w:rPr>
          <w:lang w:val="el" w:eastAsia="el"/>
        </w:rPr>
      </w:pPr>
      <w:r>
        <w:rPr>
          <w:b/>
          <w:bCs/>
          <w:lang w:val="el" w:eastAsia="el"/>
        </w:rPr>
        <w:t>1.</w:t>
      </w:r>
      <w:r>
        <w:rPr>
          <w:lang w:val="el" w:eastAsia="el"/>
        </w:rPr>
        <w:t xml:space="preserve"> είτε έχουν αναστείλει τη δραστηριότητά τους κατ’ εφαρμογή κανονιστικών πράξεων της Διοίκησης (</w:t>
      </w:r>
      <w:r>
        <w:rPr>
          <w:b/>
          <w:bCs/>
          <w:lang w:val="el" w:eastAsia="el"/>
        </w:rPr>
        <w:t>Παράρτημα 1</w:t>
      </w:r>
      <w:r>
        <w:rPr>
          <w:lang w:val="el" w:eastAsia="el"/>
        </w:rPr>
        <w:t>)</w:t>
      </w:r>
    </w:p>
    <w:p>
      <w:pPr>
        <w:pStyle w:val="MainText"/>
        <w:spacing w:before="120" w:after="0"/>
        <w:rPr>
          <w:lang w:val="el" w:eastAsia="el"/>
        </w:rPr>
      </w:pPr>
      <w:r>
        <w:rPr>
          <w:b/>
          <w:bCs/>
          <w:lang w:val="el" w:eastAsia="el"/>
        </w:rPr>
        <w:t>2.</w:t>
      </w:r>
      <w:r>
        <w:rPr>
          <w:lang w:val="el" w:eastAsia="el"/>
        </w:rPr>
        <w:t xml:space="preserve"> είτε έχουν πληγεί δραστικά από την επιδημία του κορωνοϊού COVID-19 (</w:t>
      </w:r>
      <w:r>
        <w:rPr>
          <w:b/>
          <w:bCs/>
          <w:lang w:val="el" w:eastAsia="el"/>
        </w:rPr>
        <w:t>Παράρτημα 2</w:t>
      </w:r>
      <w:r>
        <w:rPr>
          <w:lang w:val="el" w:eastAsia="el"/>
        </w:rPr>
        <w:t>).</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ΚΑΔ ΠΟΥ ΑΦΟΡΟΥΝ ΔΡΑΣΤΗΡΙΟΤΗΤΕΣ ΠΟΥ ΕΧΕΙ ΑΝΑΣΤΑΛΕΙ Η ΛΕΙΤΟΥΡΓΙΑ ΤΟΥΣ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ΚΑΔ ΠΟΥ ΑΦΟΡΟΥΝ ΔΡΑΣΤΗΡΙΟΤΗΤΕΣ ΠΟΥ ΠΛΗΤΤΟΝΤΑΙ</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ισχύει από τη δημοσίευσή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Διεύθυνση Υπηρεσιών Δεδομένων (ΔΥΠΗΔΕΔ)</w:t>
      </w:r>
    </w:p>
    <w:p>
      <w:pPr>
        <w:spacing w:before="240" w:after="240"/>
        <w:rPr>
          <w:lang w:val="el" w:eastAsia="el"/>
        </w:rPr>
      </w:pPr>
      <w:r>
        <w:rPr>
          <w:lang w:val="el" w:eastAsia="el"/>
        </w:rPr>
        <w:t>3. Διεύθυνση Ανάπτυξης Φορολογικών Εφαρμογών (ΔΑΦΕ)</w:t>
      </w:r>
    </w:p>
    <w:p>
      <w:pPr>
        <w:spacing w:before="240" w:after="240"/>
        <w:rPr>
          <w:lang w:val="el" w:eastAsia="el"/>
        </w:rPr>
      </w:pPr>
      <w:r>
        <w:rPr>
          <w:lang w:val="el" w:eastAsia="el"/>
        </w:rPr>
        <w:t>4. Διεύθυνση Στρατηγικής Τεχνολογιών και Πληροφορικής (ΔΙΣΤΕΠΛ),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Γενικών Διευθυντών</w:t>
      </w:r>
    </w:p>
    <w:p>
      <w:pPr>
        <w:spacing w:before="240" w:after="240"/>
        <w:rPr>
          <w:lang w:val="el" w:eastAsia="el"/>
        </w:rPr>
      </w:pPr>
      <w:r>
        <w:rPr>
          <w:lang w:val="el" w:eastAsia="el"/>
        </w:rPr>
        <w:t>3. Διεύθυνση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