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ΟΙΚΟΝΟΜΙΚΩΝ ΓΡΑΦΕΙΟ ΥΦΥΠΟΥΡΓΟΥ</w:t>
      </w:r>
    </w:p>
    <w:p>
      <w:pPr>
        <w:pStyle w:val="PreambelText"/>
        <w:spacing w:before="240" w:after="240"/>
        <w:rPr>
          <w:lang w:val="el" w:eastAsia="el"/>
        </w:rPr>
      </w:pPr>
      <w:r>
        <w:rPr>
          <w:b/>
          <w:bCs/>
          <w:lang w:val="el" w:eastAsia="el"/>
        </w:rPr>
        <w:t>Α. ΓΕΝ. Δ/ΝΣΗ ΦΟΡΟΛΟΓΙΚΗΣ ΔΙΟΙΚΗΣΗΣ ΔΙΕΥΘΥΝΣΗ ΕΛΕΓΧΩΝ</w:t>
      </w:r>
    </w:p>
    <w:p>
      <w:pPr>
        <w:pStyle w:val="Heading1"/>
        <w:spacing w:before="240" w:after="240"/>
        <w:rPr>
          <w:lang w:val="el" w:eastAsia="el"/>
        </w:rPr>
      </w:pPr>
      <w:r>
        <w:rPr>
          <w:b/>
          <w:bCs/>
          <w:lang w:val="el" w:eastAsia="el"/>
        </w:rPr>
        <w:t xml:space="preserve">ΤΜΗΜΑ ΣΤ΄ </w:t>
      </w:r>
    </w:p>
    <w:p>
      <w:pPr>
        <w:pStyle w:val="Heading1"/>
        <w:spacing w:before="240" w:after="240"/>
        <w:rPr>
          <w:lang w:val="el" w:eastAsia="el"/>
        </w:rPr>
      </w:pPr>
      <w:r>
        <w:rPr>
          <w:b/>
          <w:bCs/>
          <w:lang w:val="el" w:eastAsia="el"/>
        </w:rPr>
        <w:t>ΔΙΟΙΚΗΤΙΚΗΣ ΣΥΝΕΡΓΑΣΙΑΣ</w:t>
      </w:r>
    </w:p>
    <w:p>
      <w:pPr>
        <w:spacing w:before="240" w:after="240"/>
        <w:rPr>
          <w:lang w:val="el" w:eastAsia="el"/>
        </w:rPr>
      </w:pPr>
      <w:r>
        <w:rPr>
          <w:b/>
          <w:bCs/>
          <w:lang w:val="el" w:eastAsia="el"/>
        </w:rPr>
        <w:t>ΚΑΙ ΑΝΤΑΛΛΑΓΗΣ ΠΛΗΡΟΦΟΡΙΩΝ ΣΤΟΝ ΤΟΜΕΑ ΤΟΥ Φ.Π.Α.</w:t>
      </w:r>
    </w:p>
    <w:p>
      <w:pPr>
        <w:spacing w:before="240" w:after="240"/>
        <w:rPr>
          <w:lang w:val="el" w:eastAsia="el"/>
        </w:rPr>
      </w:pPr>
      <w:r>
        <w:rPr>
          <w:b/>
          <w:bCs/>
          <w:lang w:val="el" w:eastAsia="el"/>
        </w:rPr>
        <w:t>Β. ΓΕΝ. Δ/ΝΣΗ ΤΕΛΩΝΕΙΩΝ &amp; Ε.Φ.Κ</w:t>
      </w:r>
    </w:p>
    <w:p>
      <w:pPr>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 210 -36.16.754 210 -69.87.469</w:t>
      </w:r>
    </w:p>
    <w:p>
      <w:pPr>
        <w:spacing w:before="240" w:after="240"/>
        <w:rPr>
          <w:lang w:val="el" w:eastAsia="el"/>
        </w:rPr>
      </w:pPr>
      <w:hyperlink r:id="rId4" w:history="1">
        <w:r>
          <w:rPr>
            <w:rStyle w:val="Hyperlink"/>
            <w:color w:val="0000EE"/>
            <w:u w:color="0000EE"/>
            <w:lang w:val="el" w:eastAsia="el"/>
          </w:rPr>
          <w:t>d.eleg6@aade.gr</w:t>
        </w:r>
      </w:hyperlink>
      <w:hyperlink r:id="rId5" w:history="1">
        <w:r>
          <w:rPr>
            <w:rStyle w:val="Hyperlink"/>
            <w:color w:val="0000EE"/>
            <w:u w:color="0000EE"/>
            <w:lang w:val="el" w:eastAsia="el"/>
          </w:rPr>
          <w:t>vat-customs@aade.gr</w:t>
        </w:r>
      </w:hyperlink>
      <w:hyperlink r:id="rId6" w:history="1">
        <w:r>
          <w:rPr>
            <w:rStyle w:val="Hyperlink"/>
            <w:color w:val="0000EE"/>
            <w:u w:color="0000EE"/>
            <w:lang w:val="el" w:eastAsia="el"/>
          </w:rPr>
          <w:t>www.aade.gr</w:t>
        </w:r>
      </w:hyperlink>
    </w:p>
    <w:p>
      <w:pPr>
        <w:spacing w:before="240" w:after="240"/>
        <w:rPr>
          <w:lang w:val="el" w:eastAsia="el"/>
        </w:rPr>
      </w:pPr>
      <w:r>
        <w:rPr>
          <w:lang w:val="el" w:eastAsia="el"/>
        </w:rPr>
        <w:t xml:space="preserve">3. </w:t>
      </w:r>
      <w:r>
        <w:rPr>
          <w:b/>
          <w:bCs/>
          <w:lang w:val="el" w:eastAsia="el"/>
        </w:rPr>
        <w:t>ΥΠΟΥΡΓΕΙΟ ΥΠΟΔΟΜΩΝ ΚΑΙ ΜΕΤΑΦΟΡΩΝ ΓΕΝΙΚΗ ΔΙΕΥΘΥΝΣΗ ΣΤΡΑΤΗΓΙΚΟΥ ΣΧΕΔΙΑΣΜΟΥ ΜΕΤΑΦΟΡΩΝ &amp; ΟΔΙΚΗΣ ΑΣΦΑΛΕΙΑΣ</w:t>
      </w:r>
    </w:p>
    <w:p>
      <w:pPr>
        <w:spacing w:before="240" w:after="240"/>
        <w:rPr>
          <w:lang w:val="el" w:eastAsia="el"/>
        </w:rPr>
      </w:pPr>
      <w:r>
        <w:rPr>
          <w:b/>
          <w:bCs/>
          <w:lang w:val="el" w:eastAsia="el"/>
        </w:rPr>
        <w:t>Θέμα</w:t>
      </w:r>
      <w:r>
        <w:rPr>
          <w:lang w:val="el" w:eastAsia="el"/>
        </w:rPr>
        <w:t>: «Καθορισμός εθνικών αρχών ως εθνικά σημεία πρόσβασης και καθορισμός διαδικασίας αυτοματοποιημένης ανταλλαγής πληροφοριών ταξινόμησης οχημάτων με χρήση έκδοσης της εφαρμογής λογισμικού του Ευρωπαϊκού Συστήματος Πληροφοριών για Οχήματα και Άδειες Οδήγησης (EUCARIS), ειδικά σχεδιασμένης για τους σκοπούς του άρθρου 21α του κανονισμού (ΕΕ) αριθ. 904/2010 του Συμβουλίου για τη διοικητική συνεργασία και την καταπολέμηση της απάτης στον τομέα του φόρου προστιθέμενης αξίας, και τροποποιημένων εκδόσεων του εν λόγω λογισμικού</w:t>
      </w:r>
      <w:r>
        <w:rPr>
          <w:b/>
          <w:bCs/>
          <w:lang w:val="el" w:eastAsia="el"/>
        </w:rPr>
        <w:t>»</w:t>
      </w:r>
    </w:p>
    <w:p>
      <w:pPr>
        <w:spacing w:before="240" w:after="240"/>
        <w:rPr>
          <w:lang w:val="el" w:eastAsia="el"/>
        </w:rPr>
      </w:pPr>
      <w:r>
        <w:rPr>
          <w:b/>
          <w:bCs/>
          <w:lang w:val="el" w:eastAsia="el"/>
        </w:rPr>
        <w:t xml:space="preserve">Α Π Ο Φ Α Σ ΗO </w:t>
      </w:r>
    </w:p>
    <w:p>
      <w:pPr>
        <w:spacing w:before="240" w:after="240"/>
        <w:rPr>
          <w:lang w:val="el" w:eastAsia="el"/>
        </w:rPr>
      </w:pPr>
      <w:r>
        <w:rPr>
          <w:b/>
          <w:bCs/>
          <w:lang w:val="el" w:eastAsia="el"/>
        </w:rPr>
        <w:t>ΥΦΥΠΟΥΡΓΟΣ ΟΙΚΟΝΟΜΙΚΩΝ ΚΑΙ Ο ΥΠΟΥΡΓΟΣ ΥΠΟΔΟΜΩΝ &amp; ΜΕΤΑΦΟΡΩΝΈχοντας υπόψη:</w:t>
      </w:r>
    </w:p>
    <w:p>
      <w:pPr>
        <w:spacing w:before="240" w:after="240"/>
        <w:rPr>
          <w:lang w:val="el" w:eastAsia="el"/>
        </w:rPr>
      </w:pPr>
      <w:r>
        <w:rPr>
          <w:lang w:val="el" w:eastAsia="el"/>
        </w:rPr>
        <w:t>1. Τις διατάξεις της παρ.10 του άρθρου 130 του ν.2960/2001 (Α’265), όπως προστέθηκε με το άρθρο 53 του ν.4701/2020 (Α΄128).</w:t>
      </w:r>
    </w:p>
    <w:p>
      <w:pPr>
        <w:spacing w:before="240" w:after="240"/>
        <w:rPr>
          <w:lang w:val="el" w:eastAsia="el"/>
        </w:rPr>
      </w:pPr>
      <w:r>
        <w:rPr>
          <w:lang w:val="el" w:eastAsia="el"/>
        </w:rPr>
        <w:t>2. Τις διατάξεις του ν.2859/2000 «Κύρωση Κώδικα ΦΠΑ» (Α΄ 248), όπως ισχύει.</w:t>
      </w:r>
    </w:p>
    <w:p>
      <w:pPr>
        <w:spacing w:before="240" w:after="240"/>
        <w:rPr>
          <w:lang w:val="el" w:eastAsia="el"/>
        </w:rPr>
      </w:pPr>
      <w:r>
        <w:rPr>
          <w:lang w:val="el" w:eastAsia="el"/>
        </w:rPr>
        <w:t>3. Τις διατάξεις του Κανονισμού (ΕΕ) 904/2010 του Συμβουλίου για τη διοικητική συνεργασία και την καταπολέμηση της απάτης στον τομέα του φόρου προστιθέμενης αξίας (L 268), όπως ισχύει.</w:t>
      </w:r>
    </w:p>
    <w:p>
      <w:pPr>
        <w:spacing w:before="240" w:after="240"/>
        <w:rPr>
          <w:lang w:val="el" w:eastAsia="el"/>
        </w:rPr>
      </w:pPr>
      <w:r>
        <w:rPr>
          <w:lang w:val="el" w:eastAsia="el"/>
        </w:rPr>
        <w:t>4. Τις διατάξεις του Εκτελεστικού Κανονισμού (ΕΕ) 79/2012 της Επιτροπής για τη θέσπιση λεπτομερών κανόνων εφαρμογής ορισμένων διατάξεων του Κανονισμού (ΕΕ) αριθ. 904/2010 του Συμβουλίου για τη διοικητική συνεργασία και την καταπολέμηση της απάτης στον τομέα του φόρου προστιθέμενης αξίας (L 29).</w:t>
      </w:r>
    </w:p>
    <w:p>
      <w:pPr>
        <w:spacing w:before="240" w:after="240"/>
        <w:rPr>
          <w:lang w:val="el" w:eastAsia="el"/>
        </w:rPr>
      </w:pPr>
      <w:r>
        <w:rPr>
          <w:lang w:val="el" w:eastAsia="el"/>
        </w:rPr>
        <w:t>5. Τις διατάξεις του Κανονισμού (EE) 2018/1541 του Συμβουλίου για την τροποποίηση των κανονισμών (ΕΕ) αριθ. 904/2010 και (ΕΕ) 2017/2454 σχετικά με μέτρα ενίσχυσης της διοικητικής συνεργασίας στον τομέα του φόρου προστιθέμενης αξίας (L 259/1/16-10-2018).</w:t>
      </w:r>
    </w:p>
    <w:p>
      <w:pPr>
        <w:spacing w:before="240" w:after="240"/>
        <w:rPr>
          <w:lang w:val="el" w:eastAsia="el"/>
        </w:rPr>
      </w:pPr>
      <w:r>
        <w:rPr>
          <w:lang w:val="el" w:eastAsia="el"/>
        </w:rPr>
        <w:t>6. Τις διατάξεις του Εκτελεστικού Κανονισμού (ΕΕ) 2019/1129 της Επιτροπής για την τροποποίηση του εκτελεστικού κανονισμού (ΕΕ) 79/2012 της επιτροπής σχετικά με τη θέσπιση λεπτομερών κανόνων εφαρμογής ορισμένων διατάξεων του κανονισμού (ΕΕ) αριθ. 904/2010 του Συμβουλίου για τη διοικητική συνεργασία και την καταπολέμηση της απάτης στον τομέα του φόρου προστιθέμενης αξίας (L 179).</w:t>
      </w:r>
    </w:p>
    <w:p>
      <w:pPr>
        <w:spacing w:before="240" w:after="240"/>
        <w:rPr>
          <w:lang w:val="el" w:eastAsia="el"/>
        </w:rPr>
      </w:pPr>
      <w:r>
        <w:rPr>
          <w:lang w:val="el" w:eastAsia="el"/>
        </w:rPr>
        <w:t>7. Τις διατάξεις του π.δ.142/2017 (Α΄181) «Οργανισμός του Υπουργείου Οικονομικών».</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σε συνδυασμό με την παρ.22 του άρθρου 119 του ν.4622/2019 (Α’133).</w:t>
      </w:r>
    </w:p>
    <w:p>
      <w:pPr>
        <w:spacing w:before="240" w:after="240"/>
        <w:rPr>
          <w:lang w:val="el" w:eastAsia="el"/>
        </w:rPr>
      </w:pPr>
      <w:r>
        <w:rPr>
          <w:lang w:val="el" w:eastAsia="el"/>
        </w:rPr>
        <w:t>9. Το π.δ. 83/2019 (Α΄ 121) «Διορισμός Αντιπροέδρου της Κυβέρνησης, Υπουργών, Αναπληρωτών Υπουργών και Υφυπουργών» .</w:t>
      </w:r>
    </w:p>
    <w:p>
      <w:pPr>
        <w:spacing w:before="240" w:after="240"/>
        <w:rPr>
          <w:lang w:val="el" w:eastAsia="el"/>
        </w:rPr>
      </w:pPr>
      <w:r>
        <w:rPr>
          <w:lang w:val="el" w:eastAsia="el"/>
        </w:rPr>
        <w:t>10. Την απόφαση του Πρωθυπουργού υπ’ αρ.Υ2/9.7.2019 (Β΄ 2901) «Σύσταση Θέσεων Αναπληρωτή Υπουργού και Υφυπουργών».</w:t>
      </w:r>
    </w:p>
    <w:p>
      <w:pPr>
        <w:spacing w:before="240" w:after="240"/>
        <w:rPr>
          <w:lang w:val="el" w:eastAsia="el"/>
        </w:rPr>
      </w:pPr>
      <w:r>
        <w:rPr>
          <w:lang w:val="el" w:eastAsia="el"/>
        </w:rPr>
        <w:t>Την υπ’ αρ. 339/18.07.2019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12.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 Α΄94) και ειδικότερα των άρθρων 1,2,13,14,17 και 41.</w:t>
      </w:r>
    </w:p>
    <w:p>
      <w:pPr>
        <w:spacing w:before="240" w:after="240"/>
        <w:rPr>
          <w:lang w:val="el" w:eastAsia="el"/>
        </w:rPr>
      </w:pPr>
      <w:r>
        <w:rPr>
          <w:lang w:val="el" w:eastAsia="el"/>
        </w:rPr>
        <w:t>13. Την υπ’ αριθ. Δ.ΟΡΓ.Α. 1125859 ΕΞ 2020/23-10-2020 (Β΄4738) Απόφαση του Διοικητή της Ανεξάρτητης Αρχής Δημοσίων Εσόδων «Οργανισμός της Ανεξάρτητης Αρχής Δημοσίων Εσόδων».</w:t>
      </w:r>
    </w:p>
    <w:p>
      <w:pPr>
        <w:spacing w:before="240" w:after="240"/>
        <w:rPr>
          <w:lang w:val="el" w:eastAsia="el"/>
        </w:rPr>
      </w:pPr>
      <w:r>
        <w:rPr>
          <w:lang w:val="el" w:eastAsia="el"/>
        </w:rPr>
        <w:t>14. Την υπ’ αρ. 1 πράξη της 20-01-2016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με την υπ ’αριθ. 5294ΕΞ2020/17-01-2020 απόφαση του Υπουργού Οικονομικών «Ανανέωση της θητείας του Διοικητή της Α.Α.Δ.Ε.» (Υ.Ο.Δ.Δ. 27).</w:t>
      </w:r>
    </w:p>
    <w:p>
      <w:pPr>
        <w:spacing w:before="240" w:after="240"/>
        <w:rPr>
          <w:lang w:val="el" w:eastAsia="el"/>
        </w:rPr>
      </w:pPr>
      <w:r>
        <w:rPr>
          <w:lang w:val="el" w:eastAsia="el"/>
        </w:rPr>
        <w:t>15. Την ανάγκη υλοποίησης της αυτοματοποιημένης ανταλλαγής πληροφοριών ταξινόμησης οχημάτων με χρήση έκδοσης της εφαρμογής λογισμικού του Ευρωπαϊκού Συστήματος Πληροφοριών για Οχήματα και Άδειες Οδήγησης (EUCARIS) ειδικά σχεδιασμένης για τους σκοπούς του άρθρου 21α του κανονισμού (ΕΕ) αριθ. 904/2010 του Συμβουλίου για τη διοικητική συνεργασία και την καταπολέμηση της απάτης στον τομέα του φόρου προστιθέμενης αξίας, και τροποποιημένων εκδόσεων του εν λόγω λογισμικού.</w:t>
      </w:r>
    </w:p>
    <w:p>
      <w:pPr>
        <w:spacing w:before="240" w:after="240"/>
        <w:rPr>
          <w:lang w:val="el" w:eastAsia="el"/>
        </w:rPr>
      </w:pPr>
      <w:r>
        <w:rPr>
          <w:lang w:val="el" w:eastAsia="el"/>
        </w:rPr>
        <w:t>16. Το γεγονός ότι από τις διατάξεις της παρούσας απόφασης προκαλείται δαπάνη ποσού 5000,00€ περίπου ετησίως, η οποία θα βαρύνει τις πιστώσεις του τακτικού προϋπολογισμού του Υπουργείου Υποδομών και Μεταφορών , Ε.Φ. 1039 203 «Γενική Γραμματεία Μεταφορών».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Σκοπός - Πεδίο εφαρμογής</w:t>
      </w:r>
    </w:p>
    <w:p>
      <w:pPr>
        <w:spacing w:before="240" w:after="240"/>
        <w:rPr>
          <w:lang w:val="el" w:eastAsia="el"/>
        </w:rPr>
      </w:pPr>
      <w:r>
        <w:rPr>
          <w:lang w:val="el" w:eastAsia="el"/>
        </w:rPr>
        <w:t>Με την παρούσα ορίζονται, οι εθνικές αρχές οι οποίες θα είναι αρμόδιες , ως εθνικά σημεία επαφής, για την επεξεργασία εισερχόμενων αιτημάτων και για την επεξεργασία εξερχόμενων αιτημάτων για δεδομένα ταξινόμησης οχήματος για τους σκοπούς του Φ.Π.Α., που προβλέπεται στο άρθρο 21α του κανονισμού (ΕΕ) αριθ. 904/2010, μέσω εφαρμογής λογισμικού του Ευρωπαϊκού Συστήματος Πληροφοριών για Οχήματα και Άδειες Οδήγησης (EUCARIS).</w:t>
      </w:r>
    </w:p>
    <w:p>
      <w:pPr>
        <w:spacing w:before="240" w:after="240"/>
        <w:rPr>
          <w:lang w:val="el" w:eastAsia="el"/>
        </w:rPr>
      </w:pPr>
      <w:r>
        <w:rPr>
          <w:lang w:val="el" w:eastAsia="el"/>
        </w:rPr>
        <w:t>Η αυτοματοποιημένη έρευνα των αρμόδιων αρχών των κρατών μελών, ορισμένων ως εθνικών σημείων πρόσβασης, σε δεδομένα ταξινόμησης οχημάτων διενεργείται μέσω εφαρμογής λογισμικού του Ευρωπαϊκού Συστήματος Πληροφοριών για Οχήματα και Άδειες Οδήγησης (EUCARIS), ειδικά σχεδιασμένης για τους σκοπούς του άρθρου 21α του Κανονισμού (ΕΕ) 904/2010 του Συμβουλίου, η οποία συνδέεται με έρευνα για εικαζόμενη απάτη όσον αφορά τον Φ.Π.Α. ή αποσκοπεί να εντοπίσει απάτη όσον αφορά τον Φ.Π.Α.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 ως:</w:t>
      </w:r>
    </w:p>
    <w:p>
      <w:pPr>
        <w:spacing w:before="240" w:after="240"/>
        <w:rPr>
          <w:lang w:val="el" w:eastAsia="el"/>
        </w:rPr>
      </w:pPr>
      <w:r>
        <w:rPr>
          <w:b/>
          <w:bCs/>
          <w:lang w:val="el" w:eastAsia="el"/>
        </w:rPr>
        <w:t>α)Αρμόδια Αρχή</w:t>
      </w:r>
      <w:r>
        <w:rPr>
          <w:lang w:val="el" w:eastAsia="el"/>
        </w:rPr>
        <w:t>: Εθνική Αρχή στο όνομα της οποίας εφαρμόζεται ο Κανονισμός (ΕΕ) 904/2010 του Συμβουλίου είτε άμεσα, είτε με μεταβίβαση αρμοδιοτήτων.</w:t>
      </w:r>
    </w:p>
    <w:p>
      <w:pPr>
        <w:spacing w:before="240" w:after="240"/>
        <w:rPr>
          <w:lang w:val="el" w:eastAsia="el"/>
        </w:rPr>
      </w:pPr>
      <w:r>
        <w:rPr>
          <w:b/>
          <w:bCs/>
          <w:lang w:val="el" w:eastAsia="el"/>
        </w:rPr>
        <w:t>β)EUROFISC</w:t>
      </w:r>
      <w:r>
        <w:rPr>
          <w:lang w:val="el" w:eastAsia="el"/>
        </w:rPr>
        <w:t>: Δίκτυο για την ταχεία ανταλλαγή στοχοθετημένων πληροφοριών μεταξύ των κρατών μελών που προβλέπεται στο κεφάλαιο Χ του Κανονισμού (ΕΕ) 904/2010 του Συμβουλίου.</w:t>
      </w:r>
    </w:p>
    <w:p>
      <w:pPr>
        <w:spacing w:before="240" w:after="240"/>
        <w:rPr>
          <w:lang w:val="el" w:eastAsia="el"/>
        </w:rPr>
      </w:pPr>
      <w:r>
        <w:rPr>
          <w:b/>
          <w:bCs/>
          <w:lang w:val="el" w:eastAsia="el"/>
        </w:rPr>
        <w:t xml:space="preserve">γ)Υπάλληλος σύνδεσμος του EUROFISC </w:t>
      </w:r>
      <w:r>
        <w:rPr>
          <w:lang w:val="el" w:eastAsia="el"/>
        </w:rPr>
        <w:t>(EUROFISC LIAISON OFFICIAL): Αρμόδιος Υπάλληλος ο οποίος έχει εξουσιοδοτηθεί από την αρμόδια αρχή για να ανταλλάσσει απευθείας πληροφορίες, σύμφωνα με τον Κανονισμό (ΕΕ) 904/2010 του Συμβουλίου και να εκτελεί τις δραστηριότητες που αναφέρονται στην παρ. 2 του άρθρου 33.</w:t>
      </w:r>
    </w:p>
    <w:p>
      <w:pPr>
        <w:spacing w:before="240" w:after="240"/>
        <w:rPr>
          <w:lang w:val="el" w:eastAsia="el"/>
        </w:rPr>
      </w:pPr>
      <w:r>
        <w:rPr>
          <w:b/>
          <w:bCs/>
          <w:lang w:val="el" w:eastAsia="el"/>
        </w:rPr>
        <w:t>δ)EUCARIS</w:t>
      </w:r>
      <w:r>
        <w:rPr>
          <w:lang w:val="el" w:eastAsia="el"/>
        </w:rPr>
        <w:t>: Ευρωπαϊκό Σύστημα Πληροφοριών για Οχήματα και Άδειες Οδήγησης.</w:t>
      </w:r>
    </w:p>
    <w:p>
      <w:pPr>
        <w:spacing w:before="240" w:after="240"/>
        <w:rPr>
          <w:lang w:val="el" w:eastAsia="el"/>
        </w:rPr>
      </w:pPr>
      <w:r>
        <w:rPr>
          <w:b/>
          <w:bCs/>
          <w:lang w:val="el" w:eastAsia="el"/>
        </w:rPr>
        <w:t xml:space="preserve">ε)TESTA: </w:t>
      </w:r>
      <w:r>
        <w:rPr>
          <w:lang w:val="el" w:eastAsia="el"/>
        </w:rPr>
        <w:t>Δίκτυο επικοινωνιών «Διευρωπαϊκές Υπηρεσίες Τηλεματικής μεταξύ Διοικήσεων».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Εθνικά σημεία επαφής</w:t>
      </w:r>
    </w:p>
    <w:p>
      <w:pPr>
        <w:pStyle w:val="MainText"/>
        <w:spacing w:before="120" w:after="0"/>
        <w:rPr>
          <w:lang w:val="el" w:eastAsia="el"/>
        </w:rPr>
      </w:pPr>
      <w:r>
        <w:rPr>
          <w:b/>
          <w:bCs/>
          <w:lang w:val="el" w:eastAsia="el"/>
        </w:rPr>
        <w:t>1.</w:t>
      </w:r>
      <w:r>
        <w:rPr>
          <w:lang w:val="el" w:eastAsia="el"/>
        </w:rPr>
        <w:t xml:space="preserve"> Ορίζεται ως εθνικό σημείο επαφής για την επεξεργασία των εισερχόμενων αιτημάτων για δεδομένα ταξινόμησης οχημάτων για τους σκοπούς του Φ.Π.Α. που προβλέπεται στο άρθρο 21α του Κανονισμού (ΕΕ) 904/2010 του Συμβουλίου, μέσω εφαρμογής λογισμικού του Ευρωπαϊκού Συστήματος Πληροφοριών για Οχήματα και Άδειες Οδήγησης (EUCARIS), το Υπουργείο Υποδομών και Μεταφορών.</w:t>
      </w:r>
    </w:p>
    <w:p>
      <w:pPr>
        <w:pStyle w:val="MainText"/>
        <w:spacing w:before="120" w:after="0"/>
        <w:rPr>
          <w:lang w:val="el" w:eastAsia="el"/>
        </w:rPr>
      </w:pPr>
      <w:r>
        <w:rPr>
          <w:b/>
          <w:bCs/>
          <w:lang w:val="el" w:eastAsia="el"/>
        </w:rPr>
        <w:t>2.</w:t>
      </w:r>
      <w:r>
        <w:rPr>
          <w:lang w:val="el" w:eastAsia="el"/>
        </w:rPr>
        <w:t xml:space="preserve"> Ορίζεται ως εθνικό σημείο επαφής για την επεξεργασία των εξερχόμενων αιτημάτων για δεδομένα ταξινόμησης οχημάτων για τους σκοπούς του Φ.Π.Α. που προβλέπεται στο άρθρο 21α του Κανονισμού (ΕΕ) 904/2010 του Συμβουλίου, μέσω εφαρμογής λογισμικού του Ευρωπαϊκού Συστήματος Πληροφοριών για Οχήματα και Άδειες Οδήγησης (EUCARIS), η Ανεξάρτητη Αρχή Δημοσίων Εσόδων (Α.Α.Δ.Ε.).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4Διαδικασία ανταλλαγής πληροφοριών ταξινόμησης οχημάτων</w:t>
      </w:r>
    </w:p>
    <w:p>
      <w:pPr>
        <w:pStyle w:val="MainText"/>
        <w:spacing w:before="120" w:after="0"/>
        <w:rPr>
          <w:lang w:val="el" w:eastAsia="el"/>
        </w:rPr>
      </w:pPr>
      <w:r>
        <w:rPr>
          <w:b/>
          <w:bCs/>
          <w:lang w:val="el" w:eastAsia="el"/>
        </w:rPr>
        <w:t>1.</w:t>
      </w:r>
      <w:r>
        <w:rPr>
          <w:lang w:val="el" w:eastAsia="el"/>
        </w:rPr>
        <w:t xml:space="preserve"> Η αυτοματοποιημένη έρευνα πληροφοριών σχετικά με τις άδειες κυκλοφορίας οχημάτων διενεργείται με χρήση έκδοσης της εφαρμογής του λογισμικού του Ευρωπαϊκού Συστήματος Πληροφοριών για Οχήματα και Άδειες Οδήγησης (EUCARIS), ειδικά σχεδιασμένης για τους σκοπούς του άρθρου 21α του Κανονισμού (ΕΕ) 904/2010 και τροποποιημένων εκδόσεων του εν λόγω λογισμικού, μέσω υπαλλήλου συνδέσμου του EUROFISC.</w:t>
      </w:r>
    </w:p>
    <w:p>
      <w:pPr>
        <w:pStyle w:val="MainText"/>
        <w:spacing w:before="120" w:after="0"/>
        <w:rPr>
          <w:lang w:val="el" w:eastAsia="el"/>
        </w:rPr>
      </w:pPr>
      <w:r>
        <w:rPr>
          <w:b/>
          <w:bCs/>
          <w:lang w:val="el" w:eastAsia="el"/>
        </w:rPr>
        <w:t>2.</w:t>
      </w:r>
      <w:r>
        <w:rPr>
          <w:lang w:val="el" w:eastAsia="el"/>
        </w:rPr>
        <w:t xml:space="preserve"> Τα δεδομένα ταξινόμησης του οχήματος που ανταλλάσσονται μέσω του συστήματος EUCARIS διαβιβάζονται σε κρυπτογραφημένη μορφή.</w:t>
      </w:r>
    </w:p>
    <w:p>
      <w:pPr>
        <w:pStyle w:val="MainText"/>
        <w:spacing w:before="120" w:after="0"/>
        <w:rPr>
          <w:lang w:val="el" w:eastAsia="el"/>
        </w:rPr>
      </w:pPr>
      <w:r>
        <w:rPr>
          <w:b/>
          <w:bCs/>
          <w:lang w:val="el" w:eastAsia="el"/>
        </w:rPr>
        <w:t>3.</w:t>
      </w:r>
      <w:r>
        <w:rPr>
          <w:lang w:val="el" w:eastAsia="el"/>
        </w:rPr>
        <w:t xml:space="preserve"> Η αυτοματοποιημένη πρόσβαση σε δεδομένα ταξινόμησης οχημάτων πραγματοποιείται με τη χρήση του δικτύου επικοινωνιών «Διευρωπαϊκές Υπηρεσίες Τηλεματικής μεταξύ Διοικήσεων» (TESTA) και περαιτέρω ανεπτυγμένων εφαρμογών του, σε εικοσιτετράωρη βάση, επτά μέρες την εβδομάδα.</w:t>
      </w:r>
    </w:p>
    <w:p>
      <w:pPr>
        <w:pStyle w:val="MainText"/>
        <w:spacing w:before="120" w:after="0"/>
        <w:rPr>
          <w:lang w:val="el" w:eastAsia="el"/>
        </w:rPr>
      </w:pPr>
      <w:r>
        <w:rPr>
          <w:b/>
          <w:bCs/>
          <w:lang w:val="el" w:eastAsia="el"/>
        </w:rPr>
        <w:t>4.</w:t>
      </w:r>
      <w:r>
        <w:rPr>
          <w:lang w:val="el" w:eastAsia="el"/>
        </w:rPr>
        <w:t xml:space="preserve"> Το κοινό σύνολο δεδομένων και οι τεχνικές λεπτομέρειες για την αυτοματοποιημένη έρευνα δεδομένων σχετικών με τις ταξινομήσεις οχημάτων ορίζονται στο Παράρτημα VIII του εκτελεστικού κανονισμού (ΕΕ) 2019/1129 της Επιτροπής για την τροποποίηση του Εκτελεστικού Κανονισμού (ΕΕ) 79/2012 της Επιτροπής σχετικά με τη θέσπιση λεπτομερών κανόνων εφαρμογής ορισμένων διατάξεων του κανονισμού (ΕΕ) αριθ. 904/2010 του Συμβουλίου για τη διοικητική συνεργασία και την καταπολέμηση της απάτης στον τομέα του φόρου προστιθέμενης αξίας.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Πρόσβαση στις πληροφορίες</w:t>
      </w:r>
    </w:p>
    <w:p>
      <w:pPr>
        <w:pStyle w:val="MainText"/>
        <w:spacing w:before="120" w:after="0"/>
        <w:rPr>
          <w:lang w:val="el" w:eastAsia="el"/>
        </w:rPr>
      </w:pPr>
      <w:r>
        <w:rPr>
          <w:b/>
          <w:bCs/>
          <w:lang w:val="el" w:eastAsia="el"/>
        </w:rPr>
        <w:t>1.</w:t>
      </w:r>
      <w:r>
        <w:rPr>
          <w:lang w:val="el" w:eastAsia="el"/>
        </w:rPr>
        <w:t xml:space="preserve"> Η αυτοματοποιημένη πρόσβαση για την επεξεργασία των εξερχόμενων αιτημάτων για δεδομένα ταξινόμησης οχημάτων για τους σκοπούς του Φ.Π.Α. που προβλέπεται στο άρθρο 21α του Κανονισμού (ΕΕ) 904/2010 του Συμβουλίου, μέσω εφαρμογής λογισμικού του Ευρωπαϊκού Συστήματος Πληροφοριών για Οχήματα και Άδειες Οδήγησης (EUCARIS) προβλέπεται μόνο για τους υπαλλήλους συνδέσμους του Eurofisc που έχουν καθορισθεί από την αρμόδια αρχή της χώρας.</w:t>
      </w:r>
    </w:p>
    <w:p>
      <w:pPr>
        <w:pStyle w:val="MainText"/>
        <w:spacing w:before="120" w:after="0"/>
        <w:rPr>
          <w:lang w:val="el" w:eastAsia="el"/>
        </w:rPr>
      </w:pPr>
      <w:r>
        <w:rPr>
          <w:b/>
          <w:bCs/>
          <w:lang w:val="el" w:eastAsia="el"/>
        </w:rPr>
        <w:t>2.</w:t>
      </w:r>
      <w:r>
        <w:rPr>
          <w:lang w:val="el" w:eastAsia="el"/>
        </w:rPr>
        <w:t xml:space="preserve"> Σε κάθε υπάλληλο σύνδεσμο του Eurofisc που έχει καθοριστεί από την αρμόδια αρχή αποδίδεται ένας μοναδικός προσωπικός κωδικός ταυτοποίησης χρήστη.</w:t>
      </w:r>
    </w:p>
    <w:p>
      <w:pPr>
        <w:pStyle w:val="MainText"/>
        <w:spacing w:before="120" w:after="0"/>
        <w:rPr>
          <w:lang w:val="el" w:eastAsia="el"/>
        </w:rPr>
      </w:pPr>
      <w:r>
        <w:rPr>
          <w:b/>
          <w:bCs/>
          <w:lang w:val="el" w:eastAsia="el"/>
        </w:rPr>
        <w:t>3.</w:t>
      </w:r>
      <w:r>
        <w:rPr>
          <w:lang w:val="el" w:eastAsia="el"/>
        </w:rPr>
        <w:t xml:space="preserve"> Η αρμόδια αρχή της χώρας ενημερώνει αμέσως κατάλογο με τα ονόματα και τους μοναδικούς προσωπικούς κωδικούς χρήστη καθενός από τους υπαλλήλους συνδέσμους του Eurofisc και θέτει στη διάθεση των λοιπών κρατών μελών και της Επιτροπής τον επικαιροποιημένο κατάλογο.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Τεχνικός συντονισμός</w:t>
      </w:r>
    </w:p>
    <w:p>
      <w:pPr>
        <w:pStyle w:val="MainText"/>
        <w:spacing w:before="120" w:after="0"/>
        <w:rPr>
          <w:lang w:val="el" w:eastAsia="el"/>
        </w:rPr>
      </w:pPr>
      <w:r>
        <w:rPr>
          <w:b/>
          <w:bCs/>
          <w:lang w:val="el" w:eastAsia="el"/>
        </w:rPr>
        <w:t>1.</w:t>
      </w:r>
      <w:r>
        <w:rPr>
          <w:lang w:val="el" w:eastAsia="el"/>
        </w:rPr>
        <w:t xml:space="preserve"> Ως τεχνικός υπεύθυνος για την αυτοματοποιημένη πρόσβαση στα δεδομένα ταξινόμησης οχημάτων μέσω της ειδικής έκδοσης του λογισμικού EUCARIS-VAT ορίζεται το Υπουργείο Υποδομών και Μεταφορών.</w:t>
      </w:r>
    </w:p>
    <w:p>
      <w:pPr>
        <w:pStyle w:val="MainText"/>
        <w:spacing w:before="120" w:after="0"/>
        <w:rPr>
          <w:lang w:val="el" w:eastAsia="el"/>
        </w:rPr>
      </w:pPr>
      <w:r>
        <w:rPr>
          <w:b/>
          <w:bCs/>
          <w:lang w:val="el" w:eastAsia="el"/>
        </w:rPr>
        <w:t>2.</w:t>
      </w:r>
      <w:r>
        <w:rPr>
          <w:lang w:val="el" w:eastAsia="el"/>
        </w:rPr>
        <w:t xml:space="preserve"> Η Α.Α.Δ.Ε. μέχρι την ανάπτυξη εξατομικευμένου (customized) λογισμικού Α.Α.Δ.Ε., και για διάστημα που δεν θα υπερβαίνει </w:t>
      </w:r>
      <w:r>
        <w:rPr>
          <w:u w:val="single"/>
          <w:lang w:val="el" w:eastAsia="el"/>
        </w:rPr>
        <w:t>τα δύο έτη</w:t>
      </w:r>
      <w:r>
        <w:rPr>
          <w:lang w:val="el" w:eastAsia="el"/>
        </w:rPr>
        <w:t>, διασυνδέεται με την κεντρική πλατφόρμα EUCARIS μέσω του Υπουργείου Υποδομών και Μεταφορών, για τη διαχείριση των εξερχομένων αιτημάτων και έχει πρόσβαση στην υφιστάμενη ειδική έκδοση του λογισμικού EUCARIS του Υπουργείου Υποδομών και Μεταφορών μέσω των ορισμένων υπαλλήλων - συνδέσμων του Eurofisc, ως χρηστών της εφαρμογής για την επεξεργασία των εξερχόμενων αιτημάτων.</w:t>
      </w:r>
    </w:p>
    <w:p>
      <w:pPr>
        <w:spacing w:before="240" w:after="240"/>
        <w:rPr>
          <w:lang w:val="el" w:eastAsia="el"/>
        </w:rPr>
      </w:pPr>
      <w:r>
        <w:rPr>
          <w:lang w:val="el" w:eastAsia="el"/>
        </w:rPr>
        <w:t>Μετά την ανάπτυξη του εξατομικευμένου (customized) λογισμικού η Α.Α.Δ.Ε, ως Εθνικό Σημείο Επαφής για τις εξερχόμενες αναζητήσεις (NCP for outgoing requests), έχει πρόσβαση στην αναζήτηση στοιχείων κατόχων οχημάτων των κρατών μελών της Ε.Ε. μέσω αυτού του λογισμικού.</w:t>
      </w:r>
    </w:p>
    <w:p>
      <w:pPr>
        <w:pStyle w:val="MainText"/>
        <w:spacing w:before="120" w:after="0"/>
        <w:rPr>
          <w:lang w:val="el" w:eastAsia="el"/>
        </w:rPr>
      </w:pPr>
      <w:r>
        <w:rPr>
          <w:b/>
          <w:bCs/>
          <w:lang w:val="el" w:eastAsia="el"/>
        </w:rPr>
        <w:t>3.</w:t>
      </w:r>
      <w:r>
        <w:rPr>
          <w:lang w:val="el" w:eastAsia="el"/>
        </w:rPr>
        <w:t xml:space="preserve"> Ο τεχνικός υπεύθυνος λαμβάνει όλα τα αναγκαία μέτρα για να εξασφαλίσει ότι η αυτοματοποιημένη έρευνα και αυτοματοποιημένη πρόσβαση σε δεδομένα ταξινόμησης οχημάτων είναι δυνατή σε εικοσιτετράωρη βάση, επτά ημέρες την εβδομάδα. Σε περίπτωση τεχνικής βλάβης ενημερώνει άμεσα τα εθνικά σημεία επαφής των άλλων κρατών μελών με την υποστήριξη του εντεταλμένου από το EUCARIS αρμόδιου επιχειρησιακού φορέα, εφόσον απαιτείται, για την το συντομότερο δυνατόν αποκατάσταση του προβλήματος.</w:t>
      </w:r>
    </w:p>
    <w:p>
      <w:pPr>
        <w:spacing w:before="240" w:after="240"/>
        <w:rPr>
          <w:lang w:val="el" w:eastAsia="el"/>
        </w:rPr>
      </w:pPr>
      <w:r>
        <w:rPr>
          <w:lang w:val="el" w:eastAsia="el"/>
        </w:rPr>
        <w:t>Πριν από την έναρξη της αρχικής λειτουργίας της εφαρμογής προηγείται δοκιμαστική χρήση, μετά την επιτυχή έκβαση της οποίας πραγματοποιείται η μετάβαση στην παραγωγική φάση λειτουργίας του EUCARIS.</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Δαπάνη</w:t>
      </w:r>
    </w:p>
    <w:p>
      <w:pPr>
        <w:spacing w:before="240" w:after="240"/>
        <w:rPr>
          <w:lang w:val="el" w:eastAsia="el"/>
        </w:rPr>
      </w:pPr>
      <w:r>
        <w:rPr>
          <w:lang w:val="el" w:eastAsia="el"/>
        </w:rPr>
        <w:t>Η δαπάνη για τη συνδρομή στο σύστημα EUCARIS-VAT και για τη λειτουργία του συστήματος, ποσού 5000,00€ περίπου ετησίως, θα βαρύνει τις πιστώσεις του Τακτικού Προϋπολογισμού του Υπουργείου Υποδομών και Μεταφορών, Ειδικός Φορέας 1039-203 «Γενική Γραμματεία Μεταφορών».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Ο ΥΠΟΥΡΓΟΣ ΜΕΤΑΦΟΡΩΝ ΚΑΙ ΥΠΟΔΟΜΩΝ</w:t>
      </w:r>
    </w:p>
    <w:p>
      <w:pPr>
        <w:spacing w:before="240" w:after="240"/>
        <w:rPr>
          <w:lang w:val="el" w:eastAsia="el"/>
        </w:rPr>
      </w:pPr>
      <w:r>
        <w:rPr>
          <w:b/>
          <w:bCs/>
          <w:lang w:val="el" w:eastAsia="el"/>
        </w:rPr>
        <w:t>ΚΩΝΣΤΑΝΤΙΝΟΣ ΚΑΡΑΜΑΝΛΗΣ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lang w:val="el" w:eastAsia="el"/>
        </w:rPr>
        <w:t xml:space="preserve"> Αποδέκτες Πίνακα Δ΄.</w:t>
      </w:r>
    </w:p>
    <w:p>
      <w:pPr>
        <w:pStyle w:val="MainText"/>
        <w:spacing w:before="120" w:after="0"/>
        <w:rPr>
          <w:lang w:val="el" w:eastAsia="el"/>
        </w:rPr>
      </w:pPr>
      <w:r>
        <w:rPr>
          <w:b/>
          <w:bCs/>
          <w:lang w:val="el" w:eastAsia="el"/>
        </w:rPr>
        <w:t>3.</w:t>
      </w:r>
      <w:r>
        <w:rPr>
          <w:lang w:val="el" w:eastAsia="el"/>
        </w:rPr>
        <w:t xml:space="preserve"> Διεύθυνση Υποστήριξης Ηλεκτρονικών Υπηρεσιών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4.</w:t>
      </w:r>
      <w:r>
        <w:rPr>
          <w:lang w:val="el" w:eastAsia="el"/>
        </w:rPr>
        <w:t xml:space="preserve"> Εθνικό Τυπογραφείο για δημοσίευση της απόφασης.</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Β’ , αρ. 4 &amp; 5</w:t>
      </w:r>
    </w:p>
    <w:p>
      <w:pPr>
        <w:pStyle w:val="MainText"/>
        <w:spacing w:before="120" w:after="0"/>
        <w:rPr>
          <w:lang w:val="el" w:eastAsia="el"/>
        </w:rPr>
      </w:pPr>
      <w:r>
        <w:rPr>
          <w:b/>
          <w:bCs/>
          <w:lang w:val="el" w:eastAsia="el"/>
        </w:rPr>
        <w:t>2.</w:t>
      </w:r>
      <w:r>
        <w:rPr>
          <w:lang w:val="el" w:eastAsia="el"/>
        </w:rPr>
        <w:t xml:space="preserve"> Γραφείο Υπουργού Υποδομών και Μεταφορών</w:t>
      </w:r>
    </w:p>
    <w:p>
      <w:pPr>
        <w:pStyle w:val="MainText"/>
        <w:spacing w:before="120" w:after="0"/>
        <w:rPr>
          <w:lang w:val="el" w:eastAsia="el"/>
        </w:rPr>
      </w:pPr>
      <w:r>
        <w:rPr>
          <w:b/>
          <w:bCs/>
          <w:lang w:val="el" w:eastAsia="el"/>
        </w:rPr>
        <w:t>3.</w:t>
      </w:r>
      <w:r>
        <w:rPr>
          <w:lang w:val="el" w:eastAsia="el"/>
        </w:rPr>
        <w:t xml:space="preserve"> Υπηρεσία Υποστήριξης Πληροφορικής &amp; Ηλεκτρονικών Συστημάτων Υπουργείου Υποδομών και Μεταφορών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lang w:val="el" w:eastAsia="el"/>
        </w:rPr>
        <w:t xml:space="preserve"> Γραφείο Διοικητού ΑΑΔΕ.</w:t>
      </w:r>
    </w:p>
    <w:p>
      <w:pPr>
        <w:pStyle w:val="MainText"/>
        <w:spacing w:before="120" w:after="0"/>
        <w:rPr>
          <w:lang w:val="el" w:eastAsia="el"/>
        </w:rPr>
      </w:pPr>
      <w:r>
        <w:rPr>
          <w:b/>
          <w:bCs/>
          <w:lang w:val="el" w:eastAsia="el"/>
        </w:rPr>
        <w:t>6.</w:t>
      </w:r>
      <w:r>
        <w:rPr>
          <w:lang w:val="el" w:eastAsia="el"/>
        </w:rPr>
        <w:t xml:space="preserve"> Γραφείο κ. κ. Γενικών Διευθυντών.</w:t>
      </w:r>
    </w:p>
    <w:p>
      <w:pPr>
        <w:pStyle w:val="MainText"/>
        <w:spacing w:before="120" w:after="0"/>
        <w:rPr>
          <w:lang w:val="el" w:eastAsia="el"/>
        </w:rPr>
      </w:pPr>
      <w:r>
        <w:rPr>
          <w:b/>
          <w:bCs/>
          <w:lang w:val="el" w:eastAsia="el"/>
        </w:rPr>
        <w:t>7.</w:t>
      </w:r>
      <w:r>
        <w:rPr>
          <w:lang w:val="el" w:eastAsia="el"/>
        </w:rPr>
        <w:t xml:space="preserve"> Δ/νση Ελέγχων</w:t>
      </w:r>
    </w:p>
    <w:p>
      <w:pPr>
        <w:pStyle w:val="MainText"/>
        <w:spacing w:before="120" w:after="0"/>
        <w:rPr>
          <w:lang w:val="el" w:eastAsia="el"/>
        </w:rPr>
      </w:pPr>
      <w:r>
        <w:rPr>
          <w:b/>
          <w:bCs/>
          <w:lang w:val="el" w:eastAsia="el"/>
        </w:rPr>
        <w:t>8.</w:t>
      </w:r>
      <w:r>
        <w:rPr>
          <w:lang w:val="el" w:eastAsia="el"/>
        </w:rPr>
        <w:t xml:space="preserve"> Δ/νση Ε.Φ.Κ &amp; Φ.Π.Α</w:t>
      </w:r>
    </w:p>
    <w:p>
      <w:pPr>
        <w:pStyle w:val="MainText"/>
        <w:spacing w:before="120" w:after="0"/>
        <w:rPr>
          <w:lang w:val="el" w:eastAsia="el"/>
        </w:rPr>
      </w:pPr>
      <w:r>
        <w:rPr>
          <w:b/>
          <w:bCs/>
          <w:lang w:val="el" w:eastAsia="el"/>
        </w:rPr>
        <w:t>9.</w:t>
      </w:r>
      <w:r>
        <w:rPr>
          <w:lang w:val="el" w:eastAsia="el"/>
        </w:rPr>
        <w:t xml:space="preserve"> Δ/νση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6@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