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ΑΡΙΘ. ΦΕΚ: Β΄ 1069/19.3.2021</w:t>
      </w:r>
    </w:p>
    <w:p>
      <w:pPr>
        <w:pStyle w:val="Title"/>
        <w:spacing w:before="120" w:after="360"/>
        <w:rPr>
          <w:lang w:val="el" w:eastAsia="el"/>
        </w:rPr>
      </w:pPr>
      <w:r>
        <w:rPr>
          <w:b/>
          <w:bCs/>
          <w:lang w:val="el" w:eastAsia="el"/>
        </w:rPr>
        <w:t>ΑΔΑ: ΩΑΥΗ46ΜΠ3Ζ-ΛΣ6</w:t>
      </w:r>
    </w:p>
    <w:p>
      <w:pPr>
        <w:pStyle w:val="PreambelText"/>
        <w:spacing w:before="240" w:after="240"/>
        <w:rPr>
          <w:lang w:val="el" w:eastAsia="el"/>
        </w:rPr>
      </w:pPr>
      <w:r>
        <w:rPr>
          <w:b/>
          <w:bCs/>
          <w:lang w:val="el" w:eastAsia="el"/>
        </w:rPr>
        <w:t>Ι. 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 – ΤΜΗΜΑΤΑ Α΄ - Β΄</w:t>
      </w:r>
    </w:p>
    <w:p>
      <w:pPr>
        <w:pStyle w:val="PreambelText"/>
        <w:spacing w:before="240" w:after="240"/>
        <w:rPr>
          <w:lang w:val="el" w:eastAsia="el"/>
        </w:rPr>
      </w:pPr>
      <w:r>
        <w:rPr>
          <w:lang w:val="el" w:eastAsia="el"/>
        </w:rPr>
        <w:t>Ταχ. Δ/νση : Καρ.Σερβίας 10</w:t>
      </w:r>
    </w:p>
    <w:p>
      <w:pPr>
        <w:pStyle w:val="PreambelText"/>
        <w:spacing w:before="240" w:after="240"/>
        <w:rPr>
          <w:lang w:val="el" w:eastAsia="el"/>
        </w:rPr>
      </w:pPr>
      <w:r>
        <w:rPr>
          <w:lang w:val="el" w:eastAsia="el"/>
        </w:rPr>
        <w:t>Ταχ. Κώδ. : 10184 Αθήνα</w:t>
      </w:r>
    </w:p>
    <w:p>
      <w:pPr>
        <w:pStyle w:val="PreambelText"/>
        <w:spacing w:before="240" w:after="240"/>
        <w:rPr>
          <w:lang w:val="el" w:eastAsia="el"/>
        </w:rPr>
      </w:pPr>
      <w:r>
        <w:rPr>
          <w:lang w:val="el" w:eastAsia="el"/>
        </w:rPr>
        <w:t>Τηλέφωνο : 210-3375000</w:t>
      </w:r>
    </w:p>
    <w:p>
      <w:pPr>
        <w:pStyle w:val="PreambelText"/>
        <w:spacing w:before="240" w:after="240"/>
        <w:rPr>
          <w:lang w:val="el" w:eastAsia="el"/>
        </w:rPr>
      </w:pPr>
      <w:r>
        <w:rPr>
          <w:lang w:val="el" w:eastAsia="el"/>
        </w:rPr>
        <w:t>Fax : 210-3375001</w:t>
      </w:r>
    </w:p>
    <w:p>
      <w:pPr>
        <w:pStyle w:val="PreambelText"/>
        <w:spacing w:before="240" w:after="240"/>
        <w:rPr>
          <w:lang w:val="el" w:eastAsia="el"/>
        </w:rPr>
      </w:pPr>
      <w:r>
        <w:rPr>
          <w:lang w:val="el" w:eastAsia="el"/>
        </w:rPr>
        <w:t xml:space="preserve">E-Mail : </w:t>
      </w:r>
      <w:hyperlink r:id="rId4" w:history="1">
        <w:r>
          <w:rPr>
            <w:rStyle w:val="Hyperlink"/>
            <w:color w:val="0000EE"/>
            <w:u w:color="0000EE"/>
            <w:lang w:val="el" w:eastAsia="el"/>
          </w:rPr>
          <w:t>d12.a@yo.syzefxis.gov.gr</w:t>
        </w:r>
      </w:hyperlink>
    </w:p>
    <w:p>
      <w:pPr>
        <w:pStyle w:val="PreambelText"/>
        <w:spacing w:before="240" w:after="240"/>
        <w:rPr>
          <w:lang w:val="el" w:eastAsia="el"/>
        </w:rPr>
      </w:pPr>
      <w:r>
        <w:rPr>
          <w:b/>
          <w:bCs/>
          <w:lang w:val="el" w:eastAsia="el"/>
        </w:rPr>
        <w:t>ΙΙ. 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Α. ΔΙΕΥΘΥΝΣΗ ΕΠΙΧΕΙΡΗΣΙΑΚΩΝ ΔΙΑΔΙΚΑΣΙΩΝ ΥΠΟΔΙΕΥΘΥΝΣΗ Α΄</w:t>
      </w:r>
    </w:p>
    <w:p>
      <w:pPr>
        <w:pStyle w:val="PreambelText"/>
        <w:spacing w:before="240" w:after="240"/>
        <w:rPr>
          <w:lang w:val="el" w:eastAsia="el"/>
        </w:rPr>
      </w:pPr>
      <w:r>
        <w:rPr>
          <w:b/>
          <w:bCs/>
          <w:lang w:val="el" w:eastAsia="el"/>
        </w:rPr>
        <w:t>Β. ΔΙΕΥΘΥΝΣΗ ΥΠΗΡΕΣΙΩΝ ΔΕΔΟΜΕΝΩΝ</w:t>
      </w:r>
    </w:p>
    <w:p>
      <w:pPr>
        <w:pStyle w:val="StructureList1"/>
        <w:spacing w:before="120" w:after="0"/>
        <w:rPr>
          <w:lang w:val="el" w:eastAsia="el"/>
        </w:rPr>
      </w:pPr>
      <w:r>
        <w:rPr>
          <w:lang w:val="el" w:eastAsia="el"/>
        </w:rPr>
        <w:t>–</w:t>
      </w:r>
      <w:r>
        <w:rPr>
          <w:lang w:val="en" w:eastAsia="en"/>
        </w:rPr>
        <w:tab/>
      </w:r>
      <w:r>
        <w:rPr>
          <w:b/>
          <w:bCs/>
          <w:lang w:val="el" w:eastAsia="el"/>
        </w:rPr>
        <w:t>ΤΜΗΜΑ Β’</w:t>
      </w:r>
    </w:p>
    <w:p>
      <w:pPr>
        <w:pStyle w:val="PreambelText"/>
        <w:spacing w:before="240" w:after="240"/>
        <w:rPr>
          <w:lang w:val="el" w:eastAsia="el"/>
        </w:rPr>
      </w:pPr>
      <w:r>
        <w:rPr>
          <w:b/>
          <w:bCs/>
          <w:lang w:val="el" w:eastAsia="el"/>
        </w:rPr>
        <w:t>Γ. ΔΙΕΥΘΥΝΣΗ ΑΝΑΠΤΥΞΗΣ</w:t>
      </w:r>
    </w:p>
    <w:p>
      <w:pPr>
        <w:pStyle w:val="PreambelText"/>
        <w:spacing w:before="240" w:after="240"/>
        <w:rPr>
          <w:lang w:val="el" w:eastAsia="el"/>
        </w:rPr>
      </w:pPr>
      <w:r>
        <w:rPr>
          <w:b/>
          <w:bCs/>
          <w:lang w:val="el" w:eastAsia="el"/>
        </w:rPr>
        <w:t>ΦΟΡΟΛΟΓΙΚΩΝ ΕΦΑΡΜΟΓΩΝ (Δ.Α.Φ.Ε.)</w:t>
      </w:r>
    </w:p>
    <w:p>
      <w:pPr>
        <w:pStyle w:val="PreambelText"/>
        <w:spacing w:before="240" w:after="240"/>
        <w:rPr>
          <w:lang w:val="el" w:eastAsia="el"/>
        </w:rPr>
      </w:pPr>
      <w:r>
        <w:rPr>
          <w:lang w:val="el" w:eastAsia="el"/>
        </w:rPr>
        <w:t>Ταχ. Δ/νση : Χανδρή 1 &amp; Θες/νίκης</w:t>
      </w:r>
    </w:p>
    <w:p>
      <w:pPr>
        <w:pStyle w:val="PreambelText"/>
        <w:spacing w:before="240" w:after="240"/>
        <w:rPr>
          <w:lang w:val="el" w:eastAsia="el"/>
        </w:rPr>
      </w:pPr>
      <w:r>
        <w:rPr>
          <w:lang w:val="el" w:eastAsia="el"/>
        </w:rPr>
        <w:t>Ταχ. Κώδ. : 18346Μοσχάτο</w:t>
      </w:r>
    </w:p>
    <w:p>
      <w:pPr>
        <w:pStyle w:val="PreambelText"/>
        <w:spacing w:before="240" w:after="240"/>
        <w:rPr>
          <w:lang w:val="el" w:eastAsia="el"/>
        </w:rPr>
      </w:pPr>
      <w:r>
        <w:rPr>
          <w:lang w:val="el" w:eastAsia="el"/>
        </w:rPr>
        <w:t xml:space="preserve">Url : </w:t>
      </w:r>
      <w:r>
        <w:rPr>
          <w:u w:val="single"/>
          <w:lang w:val="el" w:eastAsia="el"/>
        </w:rPr>
        <w:t>www.aade.gr</w:t>
      </w:r>
    </w:p>
    <w:p>
      <w:pPr>
        <w:pStyle w:val="PreambelText"/>
        <w:spacing w:before="240" w:after="240"/>
        <w:rPr>
          <w:lang w:val="el" w:eastAsia="el"/>
        </w:rPr>
      </w:pPr>
      <w:r>
        <w:rPr>
          <w:b/>
          <w:bCs/>
          <w:lang w:val="el" w:eastAsia="el"/>
        </w:rPr>
        <w:t>ΘΕΜΑ: Διαδικασία και προϋποθέσεις καταβολής του ποσού της αποζημίωσης των δικαιούχων επιχειρήσεων εκμετάλλευσης εκπτωτικών καταστημάτων (outlet), εμπορικών κέντρων ή εκπτωτικών χωριών, που δεν εισπράττουν βασικό αντάλλαγμα για τους μήνες Ιανουάριο και Φεβρουάριο 2021, κατ΄ επιταγή του νόμου στο πλαίσιο αντιμετώπισης των επιπτώσεων του κορωνοϊού COVID-19. ΑΠΟΦΑΣΗ Ο ΥΠΟΥΡΓΟΣ ΟΙΚΟΝΟΜΙΚΩΝ, Ο ΑΝΑΠΛΗΡΩΤΗΣ ΥΠΟΥΡΓΟΣ 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2 του άρθρου 13 του ν.4690/2020 (Α΄ 104), όπως ισχύουν μετά και την τροποποίηση τους με τις διατάξεις του άρθρου 54 του ν. 4758/2020 (Α΄ 242) και με τις διατάξεις του άρθρου 27 του ν. 4772/2021 (Α΄ 17).</w:t>
      </w:r>
    </w:p>
    <w:p>
      <w:pPr>
        <w:pStyle w:val="PreambelText"/>
        <w:spacing w:before="240" w:after="240"/>
        <w:rPr>
          <w:lang w:val="el" w:eastAsia="el"/>
        </w:rPr>
      </w:pPr>
      <w:r>
        <w:rPr>
          <w:lang w:val="el" w:eastAsia="el"/>
        </w:rPr>
        <w:t>2. Τις διατάξεις των άρθρων 39, 43Α, 67, 68 και 72 του ν.4172/2013 (Α΄ 167).</w:t>
      </w:r>
    </w:p>
    <w:p>
      <w:pPr>
        <w:pStyle w:val="PreambelText"/>
        <w:spacing w:before="240" w:after="240"/>
        <w:rPr>
          <w:lang w:val="el" w:eastAsia="el"/>
        </w:rPr>
      </w:pPr>
      <w:r>
        <w:rPr>
          <w:lang w:val="el" w:eastAsia="el"/>
        </w:rPr>
        <w:t>3. Το ν.δ. 356/1974 Κ.Ε.Δ.Ε. (Α΄ 90).</w:t>
      </w:r>
    </w:p>
    <w:p>
      <w:pPr>
        <w:pStyle w:val="PreambelText"/>
        <w:spacing w:before="240" w:after="240"/>
        <w:rPr>
          <w:lang w:val="el" w:eastAsia="el"/>
        </w:rPr>
      </w:pPr>
      <w:r>
        <w:rPr>
          <w:lang w:val="el" w:eastAsia="el"/>
        </w:rPr>
        <w:t>4. Το π.δ. 62/2020 «Διορισμός Αναπληρωτών Υπουργών και Υφυπουργών» (Α΄ 155).</w:t>
      </w:r>
    </w:p>
    <w:p>
      <w:pPr>
        <w:pStyle w:val="PreambelText"/>
        <w:spacing w:before="240" w:after="240"/>
        <w:rPr>
          <w:lang w:val="el" w:eastAsia="el"/>
        </w:rPr>
      </w:pPr>
      <w:r>
        <w:rPr>
          <w:lang w:val="el" w:eastAsia="el"/>
        </w:rPr>
        <w:t>5.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7. Το π.δ. 54/2018 «Ορισμός του περιεχόμενου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Το π.δ. 80/2016 «Ανάληψη υποχρεώσεων από τους διατάκτες» (Α΄ 145).</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που κυρώθηκε με το άρθρο πρώτο του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11.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13.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14.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w:t>
      </w:r>
      <w:hyperlink r:id="rId5" w:history="1">
        <w:r>
          <w:rPr>
            <w:rStyle w:val="Hyperlink"/>
            <w:color w:val="0000EE"/>
            <w:u w:color="0000EE"/>
            <w:lang w:val="el" w:eastAsia="el"/>
          </w:rPr>
          <w:t>παρ. 10 του άρθρου 41</w:t>
        </w:r>
      </w:hyperlink>
      <w:hyperlink r:id="rId6" w:history="1">
        <w:r>
          <w:rPr>
            <w:rStyle w:val="Hyperlink"/>
            <w:color w:val="0000EE"/>
            <w:u w:color="0000EE"/>
            <w:lang w:val="el" w:eastAsia="el"/>
          </w:rPr>
          <w:t>του ν. 4389/2016,</w:t>
        </w:r>
      </w:hyperlink>
      <w:r>
        <w:rPr>
          <w:lang w:val="el" w:eastAsia="el"/>
        </w:rPr>
        <w:t xml:space="preserve"> όπως ισχύουν, την υπ’ αρ. 39/3/30.11.2017 απόφαση του Συμβουλίου Διοίκησης της Α.Α.Δ.Ε. « Ανανέωση της θητείας του Διοικητή της Α.Α.Δ.Ε. (Υ.Ο.Δ.Δ. 689), και την υπό στοιχεία 5294 ΕΞ 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15. Τις διατάξεις του Κεφαλαίου Α΄ του ν. 4389/2016 «Σύσταση της Ανεξάρτητης Αρχής Δημοσίων Εσόδων» (Α΄ 94) και ειδικότερα της παρ. 1 του άρθρου 7, του άρθρου 14 και του άρθρου 41 αυτού, όπως ισχύουν.</w:t>
      </w:r>
    </w:p>
    <w:p>
      <w:pPr>
        <w:pStyle w:val="PreambelText"/>
        <w:spacing w:before="240" w:after="240"/>
        <w:rPr>
          <w:lang w:val="el" w:eastAsia="el"/>
        </w:rPr>
      </w:pPr>
      <w:r>
        <w:rPr>
          <w:lang w:val="el" w:eastAsia="el"/>
        </w:rPr>
        <w:t>16. Την υπό στοιχεία Δ.ΟΡΓ. Α 1125859 ΕΞ2020 απόφαση του Διοικητή της Ανεξάρτητης Αρχής Δημοσίων Εσόδων «Οργανισμός της Ανεξάρτητης Αρχής Δημοσίων Εσόδων» (Β΄ 4738), όπως ισχύει.</w:t>
      </w:r>
    </w:p>
    <w:p>
      <w:pPr>
        <w:pStyle w:val="PreambelText"/>
        <w:spacing w:before="240" w:after="240"/>
        <w:rPr>
          <w:lang w:val="el" w:eastAsia="el"/>
        </w:rPr>
      </w:pPr>
      <w:r>
        <w:rPr>
          <w:lang w:val="el" w:eastAsia="el"/>
        </w:rPr>
        <w:t>17. Την υπό στοιχεία Α.1030/2021 κοινή απόφαση του Υπουργού Οικονομικών, του Αναπληρωτή Υπουργού και του Υφυπουργού Οικονομικών «Διαδικασία και προϋποθέσεις καταβολής του ποσού της αποζημίωσης των εκμισθωτών για τα μισθώματα Ιανουαρίου – Φεβρουαρίου 2021, κατ΄ επιταγή του νόμου στο πλαίσιο αντιμετώπισης των επιπτώσεων του κορωνοϊού COVID-19» (Β΄ 702).</w:t>
      </w:r>
    </w:p>
    <w:p>
      <w:pPr>
        <w:pStyle w:val="PreambelText"/>
        <w:spacing w:before="240" w:after="240"/>
        <w:rPr>
          <w:lang w:val="el" w:eastAsia="el"/>
        </w:rPr>
      </w:pPr>
      <w:r>
        <w:rPr>
          <w:lang w:val="el" w:eastAsia="el"/>
        </w:rPr>
        <w:t>18. Την ανάγκη καθορισμού της ειδικότερης διαδικασίας καθώς και των προϋποθέσεων καταβολής του ποσού της αποζημίωσης των δικαιούχων και λεπτομερούς εφαρμογής των σχετικών διατάξεων της παρ.4 του άρθρου 2 της υπό στοιχεία Α.1030/2021 κοινής απόφασης του Υπουργού Οικονομικών, του Αναπληρωτή Υπουργού και του Υφυπουργού Οικονομικών «Διαδικασία και προϋποθέσεις καταβολής του ποσού της αποζημίωσης των εκμισθωτών για τα μισθώματα Ιανουαρίου – Φεβρουαρίου 2021, κατ΄ επιταγή του νόμου στο πλαίσιο αντιμετώπισης των επιπτώσεων του κορωνοϊού COVID-19» (Β΄ 702).</w:t>
      </w:r>
    </w:p>
    <w:p>
      <w:pPr>
        <w:pStyle w:val="PreambelText"/>
        <w:spacing w:before="240" w:after="240"/>
        <w:rPr>
          <w:lang w:val="el" w:eastAsia="el"/>
        </w:rPr>
      </w:pPr>
      <w:r>
        <w:rPr>
          <w:lang w:val="el" w:eastAsia="el"/>
        </w:rPr>
        <w:t>19. Την από 11.03.2021 εισήγηση του Διοικητή της Α.Α.Δ.Ε.</w:t>
      </w:r>
    </w:p>
    <w:p>
      <w:pPr>
        <w:pStyle w:val="PreambelText"/>
        <w:spacing w:before="240" w:after="240"/>
        <w:rPr>
          <w:lang w:val="el" w:eastAsia="el"/>
        </w:rPr>
      </w:pPr>
      <w:r>
        <w:rPr>
          <w:lang w:val="el" w:eastAsia="el"/>
        </w:rPr>
        <w:t>20. Την υπό στοιχεία οικ. 2/2837/ΔΠΓΚ/22.01.2021 εισήγηση του Α’ Τμήματος της Διεύθυνσης Προϋπολογισμού Γενικής Κυβέρνησης της Γενικής Γραμματείας Δημοσιονομικής Πολιτικής του Υπουργείου Οικονομικών, σύμφωνα με την οποία προκαλείται δαπάνη στον τακτικό προϋπολογισμό έτους 2021, που δεν είναι εκ των προτέρων δυνατό να προσδιοριστεί, καθώς εξαρτάται από πραγματικά περιστατικά, και θα καλυφθεί με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του Ειδικού Φορέα 1023-711-0000000 «Γενικές Κρατικές Δαπάνες» προς τους ΑΛΕ από τους οποίους θα διενεργηθεί η πληρωμή, οι οποίοι είναι:</w:t>
      </w:r>
    </w:p>
    <w:p>
      <w:pPr>
        <w:pStyle w:val="StructureList1"/>
        <w:spacing w:before="120" w:after="0"/>
        <w:rPr>
          <w:lang w:val="el" w:eastAsia="el"/>
        </w:rPr>
      </w:pPr>
      <w:r>
        <w:rPr>
          <w:lang w:val="el" w:eastAsia="el"/>
        </w:rPr>
        <w:t>α)</w:t>
      </w:r>
      <w:r>
        <w:rPr>
          <w:lang w:val="en" w:eastAsia="en"/>
        </w:rPr>
        <w:tab/>
      </w:r>
      <w:r>
        <w:rPr>
          <w:lang w:val="el" w:eastAsia="el"/>
        </w:rPr>
        <w:t>ο ΑΛΕ 2310989899 «Λοιπές μεταβιβάσεις σε φυσικά πρόσωπα και φορείς χωρίς νομική προσωπικότητα» για τους δικαιούχους φυσικά πρόσωπα και</w:t>
      </w:r>
    </w:p>
    <w:p>
      <w:pPr>
        <w:pStyle w:val="StructureList1"/>
        <w:spacing w:before="120" w:after="0"/>
        <w:rPr>
          <w:lang w:val="el" w:eastAsia="el"/>
        </w:rPr>
      </w:pPr>
      <w:r>
        <w:rPr>
          <w:lang w:val="el" w:eastAsia="el"/>
        </w:rPr>
        <w:t>β)</w:t>
      </w:r>
      <w:r>
        <w:rPr>
          <w:lang w:val="en" w:eastAsia="en"/>
        </w:rPr>
        <w:tab/>
      </w:r>
      <w:r>
        <w:rPr>
          <w:lang w:val="el" w:eastAsia="el"/>
        </w:rPr>
        <w:t>ο ΑΛΕ 2310889001 «Επιχορήγηση σε λοιπά νομικά πρόσωπα για λοιπούς σκοπούς» για δικαιούχους νομικά πρόσωπα.</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Με την παρούσα απόφαση καθορίζεται η ειδικότερη διαδικασία, καθώς και οι προϋποθέσεις καταβολής του ποσού της αποζημίωσης που δικαιούνται οι επιχειρήσεις εκμετάλλευσης εκπτωτικών καταστημάτων (outlet), εμπορικών κέντρων ή εκπτωτικών χωριών, που δεν εισπράττουν για τους μήνες Ιανουάριο και Φεβρουάριο 2021 «βασικό αντάλλαγμα», κατ’ επιταγή του νόμου στο πλαίσιο της αντιμετώπισης των επιπτώσεων του κορωνοϊού COVID-19.</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2Ορισμοί</w:t>
      </w:r>
    </w:p>
    <w:p>
      <w:pPr>
        <w:pStyle w:val="MainText"/>
        <w:spacing w:before="120" w:after="0"/>
        <w:rPr>
          <w:lang w:val="el" w:eastAsia="el"/>
        </w:rPr>
      </w:pPr>
      <w:r>
        <w:rPr>
          <w:b/>
          <w:bCs/>
          <w:lang w:val="el" w:eastAsia="el"/>
        </w:rPr>
        <w:t>1.</w:t>
      </w:r>
      <w:r>
        <w:rPr>
          <w:lang w:val="el" w:eastAsia="el"/>
        </w:rPr>
        <w:t xml:space="preserve"> </w:t>
      </w:r>
      <w:r>
        <w:rPr>
          <w:b/>
          <w:bCs/>
          <w:lang w:val="el" w:eastAsia="el"/>
        </w:rPr>
        <w:t>Δικαιούχος</w:t>
      </w:r>
      <w:r>
        <w:rPr>
          <w:lang w:val="el" w:eastAsia="el"/>
        </w:rPr>
        <w:t>: Η επιχείρηση εκμετάλλευσης εκπτωτικών καταστημάτων (outlet), εμπορικών κέντρων ή εκπτωτικών χωριών που δικαιούται αποζημίωσης καθώς δεν εισπράττει βασικό αντάλλαγμα για τους μήνες Ιανουάριο και Φεβρουάριο 2021 κατ’ επιταγή του νόμου στο πλαίσιο της αντιμετώπισης των επιπτώσεων του κορωνοϊού COVID-19. Σε περίπτωση θανάτου του δικαιούχου ως δικαιούχοι λογίζονται οι κληρονόμοι αυτού με τις υποχρεώσεις, όπως αυτές ορίζονται στην παρ. 3 του άρθρου 2 της υπό στοιχεία Α.1030/2021 κοινής απόφασης του Υπουργού Οικονομικών, του Αναπληρωτή Υπουργού και του Υφυπουργού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Καταστηματάρχης</w:t>
      </w:r>
      <w:r>
        <w:rPr>
          <w:lang w:val="el" w:eastAsia="el"/>
        </w:rPr>
        <w:t>: Η επιχείρηση που συνάπτει με δικαιούχο σύμβαση για χρήση ενός καταστήματος.</w:t>
      </w:r>
    </w:p>
    <w:p>
      <w:pPr>
        <w:pStyle w:val="MainText"/>
        <w:spacing w:before="120" w:after="0"/>
        <w:rPr>
          <w:lang w:val="el" w:eastAsia="el"/>
        </w:rPr>
      </w:pPr>
      <w:r>
        <w:rPr>
          <w:b/>
          <w:bCs/>
          <w:lang w:val="el" w:eastAsia="el"/>
        </w:rPr>
        <w:t>3.</w:t>
      </w:r>
      <w:r>
        <w:rPr>
          <w:lang w:val="el" w:eastAsia="el"/>
        </w:rPr>
        <w:t xml:space="preserve"> </w:t>
      </w:r>
      <w:r>
        <w:rPr>
          <w:b/>
          <w:bCs/>
          <w:lang w:val="el" w:eastAsia="el"/>
        </w:rPr>
        <w:t>Κατάστημα</w:t>
      </w:r>
      <w:r>
        <w:rPr>
          <w:lang w:val="el" w:eastAsia="el"/>
        </w:rPr>
        <w:t>: ο χώρος εντός εκπτωτικού καταστήματος (outlet) ή εμπορικού κέντρου ή εκπτωτικού χωριού, του οποίου η χρήση παραχωρείται από τον δικαιούχο στον καταστηματάρχη κατόπιν συμφωνίας.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Βασικό αντάλλαγμα</w:t>
      </w:r>
      <w:r>
        <w:rPr>
          <w:lang w:val="el" w:eastAsia="el"/>
        </w:rPr>
        <w:t>: Το αντάλλαγμα που λαμβάνει ο δικαιούχος για την παραχώρηση της χρήσης του συμφωνηθέντος χώρου (καταστήματος) εντός εκπτωτικού καταστήματος (outlet) ή εμπορικού κέντρου ή εκπτωτικού χωριού.</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υποβολής «Δήλωση Πληροφοριακών Στοιχείων Μίσθωσης ΑκίνητηςΠεριουσίας» και της «Δήλωσης Covid»</w:t>
      </w:r>
    </w:p>
    <w:p>
      <w:pPr>
        <w:pStyle w:val="MainText"/>
        <w:spacing w:before="120" w:after="0"/>
        <w:rPr>
          <w:lang w:val="el" w:eastAsia="el"/>
        </w:rPr>
      </w:pPr>
      <w:r>
        <w:rPr>
          <w:b/>
          <w:bCs/>
          <w:lang w:val="el" w:eastAsia="el"/>
        </w:rPr>
        <w:t>1.</w:t>
      </w:r>
      <w:r>
        <w:rPr>
          <w:lang w:val="el" w:eastAsia="el"/>
        </w:rPr>
        <w:t xml:space="preserve"> Ο δικαιούχος είσπραξης του ποσού της αποζημίωσης που δεν εισπράττει βασικό αντάλλαγμα για τους μήνες Ιανουάριο και Φεβρουάριο 2021 κατ’ επιταγή του νόμου στο πλαίσιο της αντιμετώπισης των επιπτώσεων του κορωνοϊού COVID-19, προκειμένου να τύχει των ευνοϊκών ρυθμίσεων που προβλέπονται από τις κείμενες διατάξεις, υποβάλλει κατ΄ εξαίρεση και μόνο για την εφαρμογή της παρούσας, αρχική «Δήλωση Πληροφοριακών Στοιχείων Μίσθωσης Ακίνητης Περιουσίας» και στη συνέχεια «Δήλωση Covid», σύμφωνα με τα οριζόμενα στην υπό στοιχεία</w:t>
      </w:r>
      <w:r>
        <w:rPr>
          <w:rStyle w:val="link"/>
          <w:lang w:val="el" w:eastAsia="el"/>
        </w:rPr>
        <w:t xml:space="preserve"> ΠΟΛ 1162/2018 </w:t>
      </w:r>
      <w:r>
        <w:rPr>
          <w:lang w:val="el" w:eastAsia="el"/>
        </w:rPr>
        <w:t>απόφαση του Διοικητή της Α.Α.Δ.Ε., όπως ισχύει.</w:t>
      </w:r>
    </w:p>
    <w:p>
      <w:pPr>
        <w:pStyle w:val="MainText"/>
        <w:spacing w:before="120" w:after="0"/>
        <w:rPr>
          <w:lang w:val="el" w:eastAsia="el"/>
        </w:rPr>
      </w:pPr>
      <w:r>
        <w:rPr>
          <w:b/>
          <w:bCs/>
          <w:lang w:val="el" w:eastAsia="el"/>
        </w:rPr>
        <w:t>2.</w:t>
      </w:r>
      <w:r>
        <w:rPr>
          <w:lang w:val="el" w:eastAsia="el"/>
        </w:rPr>
        <w:t xml:space="preserve"> Στην ηλεκτρονική φόρμα υποβολής των πληροφοριακών στοιχείων μίσθωσης ακίνητης περιουσίας οι δικαιούχοι καταχωρούν τα ακόλουθα στοιχεία :</w:t>
      </w:r>
    </w:p>
    <w:p>
      <w:pPr>
        <w:pStyle w:val="StructureList1"/>
        <w:spacing w:before="120" w:after="0"/>
        <w:rPr>
          <w:lang w:val="el" w:eastAsia="el"/>
        </w:rPr>
      </w:pPr>
      <w:r>
        <w:rPr>
          <w:lang w:val="el" w:eastAsia="el"/>
        </w:rPr>
        <w:t>α)</w:t>
      </w:r>
      <w:r>
        <w:rPr>
          <w:lang w:val="en" w:eastAsia="en"/>
        </w:rPr>
        <w:tab/>
      </w:r>
      <w:r>
        <w:rPr>
          <w:lang w:val="el" w:eastAsia="el"/>
        </w:rPr>
        <w:t>Στο πεδίο «ΣΤΟΙΧΕΙΑ ΕΚΜΙΣΘΩΤΩΝ» καταχωρούνται τα στοιχεία του δικαιούχου, ήτοι της επιχείρησης εκμετάλλευσης εκπτωτικών καταστημάτων (outlet), εμπορικών κέντρων ή εκπτωτικών χωριών που δεν εισπράττει βασικό αντάλλαγμα για τους μήνες Ιανουάριο και Φεβρουάριο 2021 κατ’ επιταγή του νόμου στο πλαίσιο της αντιμετώπισης των επιπτώσεων του κορωνοϊού COVID-19.</w:t>
      </w:r>
    </w:p>
    <w:p>
      <w:pPr>
        <w:pStyle w:val="StructureList1"/>
        <w:spacing w:before="120" w:after="0"/>
        <w:rPr>
          <w:lang w:val="el" w:eastAsia="el"/>
        </w:rPr>
      </w:pPr>
      <w:r>
        <w:rPr>
          <w:lang w:val="el" w:eastAsia="el"/>
        </w:rPr>
        <w:t>β)</w:t>
      </w:r>
      <w:r>
        <w:rPr>
          <w:lang w:val="en" w:eastAsia="en"/>
        </w:rPr>
        <w:tab/>
      </w:r>
      <w:r>
        <w:rPr>
          <w:lang w:val="el" w:eastAsia="el"/>
        </w:rPr>
        <w:t>Στο πεδίο «ΣΤΟΙΧΕΙΑ ΜΙΣΘΩΤΩΝ» καταχωρούνται τα στοιχεία του καταστηματάρχη, ήτοι της επιχείρησης που έχει συνάψει σύμβαση για χρήση ενός συμφωνηθέντος χώρου (καταστήματος) εντός εκπτωτικού καταστήματος (outlet) ή εμπορικού κέντρου ή εκπτωτικού χωριού.</w:t>
      </w:r>
    </w:p>
    <w:p>
      <w:pPr>
        <w:pStyle w:val="StructureList1"/>
        <w:spacing w:before="120" w:after="0"/>
        <w:rPr>
          <w:lang w:val="el" w:eastAsia="el"/>
        </w:rPr>
      </w:pPr>
      <w:r>
        <w:rPr>
          <w:lang w:val="el" w:eastAsia="el"/>
        </w:rPr>
        <w:t>γ)</w:t>
      </w:r>
      <w:r>
        <w:rPr>
          <w:lang w:val="en" w:eastAsia="en"/>
        </w:rPr>
        <w:tab/>
      </w:r>
      <w:r>
        <w:rPr>
          <w:lang w:val="el" w:eastAsia="el"/>
        </w:rPr>
        <w:t>Στο πεδίο «ΣΤΟΙΧΕΙΑ ΜΙΣΘΩΣΗΣ», ως «Είδος Μίσθωσης» επιλέγεται «Παραχώρηση χρήσης δικαιώματος εκμετάλλευσης καταστήματος εντός εμπορικού κέντρου» και ως «Στοιχεία Συμφωνητικού» τα στοιχεία της σύμβασης που έχει υπογραφεί μεταξύ δικαιούχου και καταστηματάρχη.</w:t>
      </w:r>
    </w:p>
    <w:p>
      <w:pPr>
        <w:pStyle w:val="StructureList1"/>
        <w:spacing w:before="120" w:after="0"/>
        <w:rPr>
          <w:lang w:val="el" w:eastAsia="el"/>
        </w:rPr>
      </w:pPr>
      <w:r>
        <w:rPr>
          <w:lang w:val="el" w:eastAsia="el"/>
        </w:rPr>
        <w:t>δ)</w:t>
      </w:r>
      <w:r>
        <w:rPr>
          <w:lang w:val="en" w:eastAsia="en"/>
        </w:rPr>
        <w:tab/>
      </w:r>
      <w:r>
        <w:rPr>
          <w:lang w:val="el" w:eastAsia="el"/>
        </w:rPr>
        <w:t>Στο πεδίο «ΣΤΟΙΧΕΙΑ ΑΚΙΝΗΤΟΥ» συμπληρώνονται τα στοιχεία του καταστήματος. ε) Στο πεδίο «Συνολικό Μηνιαίο Μίσθωμα» συμπληρώνεται το ποσό του μηνιαίου «βασικού ανταλλάγματος» που λαμβάνει ο δικαιούχος για την παραχώρηση της χρήσης του καταστήματος.</w:t>
      </w:r>
    </w:p>
    <w:p>
      <w:pPr>
        <w:pStyle w:val="MainText"/>
        <w:spacing w:before="120" w:after="0"/>
        <w:rPr>
          <w:lang w:val="el" w:eastAsia="el"/>
        </w:rPr>
      </w:pPr>
      <w:r>
        <w:rPr>
          <w:b/>
          <w:bCs/>
          <w:lang w:val="el" w:eastAsia="el"/>
        </w:rPr>
        <w:t>3.</w:t>
      </w:r>
      <w:r>
        <w:rPr>
          <w:lang w:val="el" w:eastAsia="el"/>
        </w:rPr>
        <w:t xml:space="preserve"> Στην ηλεκτρονική φόρμα υποβολής της «Δήλωσης Covid», οι δικαιούχοι πρέπει να επιλέγουν το πεδίο «Χρήση μισθίου – Επαγγελματική στέγη».</w:t>
      </w:r>
    </w:p>
    <w:p>
      <w:pPr>
        <w:pStyle w:val="MainText"/>
        <w:spacing w:before="120" w:after="0"/>
        <w:rPr>
          <w:lang w:val="el" w:eastAsia="el"/>
        </w:rPr>
      </w:pPr>
      <w:r>
        <w:rPr>
          <w:b/>
          <w:bCs/>
          <w:lang w:val="el" w:eastAsia="el"/>
        </w:rPr>
        <w:t>4.</w:t>
      </w:r>
      <w:r>
        <w:rPr>
          <w:lang w:val="el" w:eastAsia="el"/>
        </w:rPr>
        <w:t xml:space="preserve"> Η υποβολή των ως άνω δηλώσεων δεν μεταβάλλει τη φύση και το περιεχόμενο της εν ισχύ σύμβασης και δεν λαμβάνεται υπόψη για το χαρακτηρισμό του εισοδήματος που αποκτάται με βάση την κείμενη φορολογική νομοθεσία.</w:t>
      </w:r>
    </w:p>
    <w:p>
      <w:pPr>
        <w:spacing w:before="240" w:after="240"/>
        <w:rPr>
          <w:lang w:val="el" w:eastAsia="el"/>
        </w:rPr>
      </w:pPr>
      <w:r>
        <w:rPr>
          <w:lang w:val="el" w:eastAsia="el"/>
        </w:rPr>
        <w:t>Στην περίπτωση που δικαιούχος φυσικό πρόσωπο που ασκεί επιχειρηματική δραστηριότητα, έχει αποβιώσει, για την είσπραξη του ποσού της αποζημίωσης από τους κληρονόμους του, τυγχάνουν ανάλογης εφαρμογής τα οριζόμενα στο άρθρο 3 της υπό στοιχεία Α.1030/2021 (Β΄ 702) κοινής απόφασης του Υπουργού Οικονομικών, του Αναπληρωτή Υπουργού και του Υφυπουργού Οικονομικών.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χορήγησης και καταβολής του ποσού στους δικαιούχους</w:t>
      </w:r>
    </w:p>
    <w:p>
      <w:pPr>
        <w:spacing w:before="240" w:after="240"/>
        <w:rPr>
          <w:lang w:val="el" w:eastAsia="el"/>
        </w:rPr>
      </w:pPr>
      <w:r>
        <w:rPr>
          <w:lang w:val="el" w:eastAsia="el"/>
        </w:rPr>
        <w:t>Για τη διαδικασία χορήγησης και καταβολής του ποσού στους δικαιούχους καθώς και για τα δικαιολογητικά που απαιτούνται για την έκδοση των σχετικών χρηματικών ενταλμάτων ισχύουν τα οριζόμενα στο άρθρο 4 της υπό στοιχεία Α.1030/2021 κοινής απόφασης του Υπουργού Οικονομικών, του Αναπληρωτή Υπουργού και του Υφυπουργού Οικονομικών.</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w:t>
      </w:r>
    </w:p>
    <w:p>
      <w:pPr>
        <w:spacing w:before="240" w:after="240"/>
        <w:rPr>
          <w:lang w:val="el" w:eastAsia="el"/>
        </w:rPr>
      </w:pPr>
      <w:r>
        <w:rPr>
          <w:lang w:val="el" w:eastAsia="el"/>
        </w:rPr>
        <w:t>στην ιστοσελίδα της ΑΑΔΕ και στην Ηλεκτρονική Βιβλιοθήκη της ΑΑΔΕ)</w:t>
      </w:r>
    </w:p>
    <w:p>
      <w:pPr>
        <w:spacing w:before="240" w:after="240"/>
        <w:rPr>
          <w:lang w:val="el" w:eastAsia="el"/>
        </w:rPr>
      </w:pPr>
      <w:r>
        <w:rPr>
          <w:lang w:val="el" w:eastAsia="el"/>
        </w:rPr>
        <w:t>4. 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 Υπουργού Οικονομικών</w:t>
      </w:r>
    </w:p>
    <w:p>
      <w:pPr>
        <w:spacing w:before="240" w:after="240"/>
        <w:rPr>
          <w:lang w:val="el" w:eastAsia="el"/>
        </w:rPr>
      </w:pPr>
      <w:r>
        <w:rPr>
          <w:lang w:val="el" w:eastAsia="el"/>
        </w:rPr>
        <w:t>3. Γραφείο Υφυπουργού Οικονομικών</w:t>
      </w:r>
    </w:p>
    <w:p>
      <w:pPr>
        <w:spacing w:before="240" w:after="240"/>
        <w:rPr>
          <w:lang w:val="el" w:eastAsia="el"/>
        </w:rPr>
      </w:pPr>
      <w:r>
        <w:rPr>
          <w:lang w:val="el" w:eastAsia="el"/>
        </w:rPr>
        <w:t>4. Γραφείο Γενικής Γραμματέως Φορολογικής Πολιτικής και Δημόσιας Περιουσίας</w:t>
      </w:r>
    </w:p>
    <w:p>
      <w:pPr>
        <w:spacing w:before="240" w:after="240"/>
        <w:rPr>
          <w:lang w:val="el" w:eastAsia="el"/>
        </w:rPr>
      </w:pPr>
      <w:r>
        <w:rPr>
          <w:lang w:val="el" w:eastAsia="el"/>
        </w:rPr>
        <w:t>5.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6. Επιχειρησιακή Δ/νση ΣΔΟΕ Αττικής &amp; Επιχειρησιακή Δ/νση ΣΔΟΕ Μακεδονίας</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lang w:val="el" w:eastAsia="el"/>
        </w:rPr>
        <w:t>8.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9. Διεύθυνση Οικονομικής Διαχείρισης της Γενικής Διεύθυνσης Οικονομικών Υπηρεσιών του Υπουργείου Οικονομικών</w:t>
      </w:r>
    </w:p>
    <w:p>
      <w:pPr>
        <w:spacing w:before="240" w:after="240"/>
        <w:rPr>
          <w:lang w:val="el" w:eastAsia="el"/>
        </w:rPr>
      </w:pPr>
      <w:r>
        <w:rPr>
          <w:lang w:val="el" w:eastAsia="el"/>
        </w:rPr>
        <w:t>10. Διεύθυνση Λογαριασμών και Ταμειακού Προγραμματισμού, της Γενικής Διεύθυνσης Θησαυροφυλακείου και Δημοσιονομικών Κανόνων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Γενικής Δ/ντριας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s://www.forin.gr/laws/law/3474/nomos-4389-2016%23!/?article=41&amp;paragraph=10&amp;bn=1" TargetMode="External" /><Relationship Id="rId6" Type="http://schemas.openxmlformats.org/officeDocument/2006/relationships/hyperlink" Target="https://www.forin.gr/laws/law/3474/nomos-4389-2016%23!/?article=41&amp;paragraph=10&amp;bn=1"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