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ΑΔΔΕ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SASS9 </w:t>
      </w:r>
      <w:r>
        <w:rPr>
          <w:lang w:val="el" w:eastAsia="el"/>
        </w:rPr>
        <w:t>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3. </w:t>
      </w:r>
      <w:r>
        <w:rPr>
          <w:b/>
          <w:bCs/>
          <w:lang w:val="el" w:eastAsia="el"/>
        </w:rPr>
        <w:t>ΓΕΝΙΚΗ ΔΙΕΥΘΥΝΣΗ ΗΛΕΚΤΡΟΝΙΚΗΣ ΔΙΑΚΥΒΕΡΝΗΣΗΣ</w:t>
      </w:r>
    </w:p>
    <w:p>
      <w:pPr>
        <w:spacing w:before="240" w:after="240"/>
        <w:rPr>
          <w:lang w:val="el" w:eastAsia="el"/>
        </w:rPr>
      </w:pPr>
      <w:r>
        <w:rPr>
          <w:b/>
          <w:bCs/>
          <w:lang w:val="el" w:eastAsia="el"/>
        </w:rPr>
        <w:t>Α.ΔΙΕΥΘΥΝΣΗ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213-1621133,210-3627090</w:t>
      </w:r>
    </w:p>
    <w:p>
      <w:pPr>
        <w:spacing w:before="240" w:after="240"/>
        <w:rPr>
          <w:lang w:val="el" w:eastAsia="el"/>
        </w:rPr>
      </w:pPr>
      <w:r>
        <w:rPr>
          <w:lang w:val="el" w:eastAsia="el"/>
        </w:rPr>
        <w:t>2132113142</w:t>
      </w:r>
    </w:p>
    <w:p>
      <w:pPr>
        <w:spacing w:before="240" w:after="240"/>
        <w:rPr>
          <w:lang w:val="el" w:eastAsia="el"/>
        </w:rPr>
      </w:pPr>
      <w:hyperlink r:id="rId4" w:history="1">
        <w:r>
          <w:rPr>
            <w:rStyle w:val="Hyperlink"/>
            <w:color w:val="0000EE"/>
            <w:u w:color="0000EE"/>
            <w:lang w:val="el" w:eastAsia="el"/>
          </w:rPr>
          <w:t>d.eleg01@aade.gr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 xml:space="preserve">ΘEMA: </w:t>
      </w:r>
      <w:r>
        <w:rPr>
          <w:lang w:val="el" w:eastAsia="el"/>
        </w:rPr>
        <w:t>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w:t>
      </w:r>
    </w:p>
    <w:p>
      <w:pPr>
        <w:spacing w:before="240" w:after="240"/>
        <w:rPr>
          <w:lang w:val="el" w:eastAsia="el"/>
        </w:rPr>
      </w:pPr>
      <w:r>
        <w:rPr>
          <w:b/>
          <w:bCs/>
          <w:lang w:val="el" w:eastAsia="el"/>
        </w:rPr>
        <w:t>Ο ΥΦΥΠΟΥΡΓΟΣ ΟΙΚΟΝΟΜΙΚΩΝ ΚΑΙ 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15Α του ν. 4174/2013 (Α΄170), όπως προστέθηκε με τις διατάξεις του ν.4646/2019 (Α΄201).</w:t>
      </w:r>
    </w:p>
    <w:p>
      <w:pPr>
        <w:pStyle w:val="StructureList1"/>
        <w:spacing w:before="120" w:after="0"/>
        <w:rPr>
          <w:lang w:val="el" w:eastAsia="el"/>
        </w:rPr>
      </w:pPr>
      <w:r>
        <w:rPr>
          <w:lang w:val="el" w:eastAsia="el"/>
        </w:rPr>
        <w:t>β)</w:t>
      </w:r>
      <w:r>
        <w:rPr>
          <w:lang w:val="en" w:eastAsia="en"/>
        </w:rPr>
        <w:tab/>
      </w:r>
      <w:r>
        <w:rPr>
          <w:lang w:val="el" w:eastAsia="el"/>
        </w:rPr>
        <w:t>τις διατάξεις των παρ. 1 και 6 του άρθρου 20 του ν.3842/2010 (Α΄58), όπως ισχύει, μετά την αντικατάστασή τους από τις διατάξεις της παρ. 1 του άρθρου 69 του ν. 4446/2016 (ΦΕΚ Α΄ 240) και του άρθρου 75 του ν. 4472/2017 (Α΄74) αντίστοιχα.</w:t>
      </w:r>
    </w:p>
    <w:p>
      <w:pPr>
        <w:pStyle w:val="StructureList1"/>
        <w:spacing w:before="120" w:after="0"/>
        <w:rPr>
          <w:lang w:val="el" w:eastAsia="el"/>
        </w:rPr>
      </w:pPr>
      <w:r>
        <w:rPr>
          <w:lang w:val="el" w:eastAsia="el"/>
        </w:rPr>
        <w:t>γ)</w:t>
      </w:r>
      <w:r>
        <w:rPr>
          <w:lang w:val="en" w:eastAsia="en"/>
        </w:rPr>
        <w:tab/>
      </w:r>
      <w:r>
        <w:rPr>
          <w:lang w:val="el" w:eastAsia="el"/>
        </w:rPr>
        <w:t>του ν.4308/2014 «Ελληνικά Λογιστικά Πρότυπα, συναφείς ρυθμίσεις και άλλες διατάξεις»(A΄ 251).</w:t>
      </w:r>
    </w:p>
    <w:p>
      <w:pPr>
        <w:pStyle w:val="StructureList1"/>
        <w:spacing w:before="120" w:after="0"/>
        <w:rPr>
          <w:lang w:val="el" w:eastAsia="el"/>
        </w:rPr>
      </w:pPr>
      <w:r>
        <w:rPr>
          <w:lang w:val="el" w:eastAsia="el"/>
        </w:rPr>
        <w:t>δ)</w:t>
      </w:r>
      <w:r>
        <w:rPr>
          <w:lang w:val="en" w:eastAsia="en"/>
        </w:rPr>
        <w:tab/>
      </w:r>
      <w:r>
        <w:rPr>
          <w:lang w:val="el" w:eastAsia="el"/>
        </w:rPr>
        <w:t>του ν. 3054/2002 «Οργάνωση της αγοράς πετρελαιοειδών και άλλες διατάξεις» (Α΄230).</w:t>
      </w:r>
    </w:p>
    <w:p>
      <w:pPr>
        <w:pStyle w:val="StructureList1"/>
        <w:spacing w:before="120" w:after="0"/>
        <w:rPr>
          <w:lang w:val="el" w:eastAsia="el"/>
        </w:rPr>
      </w:pPr>
      <w:r>
        <w:rPr>
          <w:lang w:val="el" w:eastAsia="el"/>
        </w:rPr>
        <w:t>ε)</w:t>
      </w:r>
      <w:r>
        <w:rPr>
          <w:lang w:val="en" w:eastAsia="en"/>
        </w:rPr>
        <w:tab/>
      </w:r>
      <w:r>
        <w:rPr>
          <w:lang w:val="el" w:eastAsia="el"/>
        </w:rPr>
        <w:t>του ν. 2960/2001 «Εθνικός Τελωνειακός Κώδικας», (Α΄265).</w:t>
      </w:r>
    </w:p>
    <w:p>
      <w:pPr>
        <w:spacing w:before="240" w:after="240"/>
        <w:rPr>
          <w:lang w:val="el" w:eastAsia="el"/>
        </w:rPr>
      </w:pPr>
      <w:r>
        <w:rPr>
          <w:lang w:val="el" w:eastAsia="el"/>
        </w:rPr>
        <w:t>2. Το π.δ. 142/2017 «Οργανισμός του Υπουργείου Οικονομικών», (Α΄181).</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 όπως διορθώθηκε (Α΄126) και ισχύει.</w:t>
      </w:r>
    </w:p>
    <w:p>
      <w:pPr>
        <w:spacing w:before="240" w:after="240"/>
        <w:rPr>
          <w:lang w:val="el" w:eastAsia="el"/>
        </w:rPr>
      </w:pPr>
      <w:r>
        <w:rPr>
          <w:lang w:val="el" w:eastAsia="el"/>
        </w:rPr>
        <w:t>4.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6. 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spacing w:before="240" w:after="240"/>
        <w:rPr>
          <w:lang w:val="el" w:eastAsia="el"/>
        </w:rPr>
      </w:pPr>
      <w:r>
        <w:rPr>
          <w:lang w:val="el" w:eastAsia="el"/>
        </w:rPr>
        <w:t>7. 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8. Την υπό στοιχεία ΠΟΛ.1166/2018 Απόφαση του Διοικητή της Α.Α.Δ.Ε. «Τεχνικές προδιαγραφές πρωτοκόλλου επικοινωνίας και κρυπτογράφησης για τη διαβίβαση δεδομένων στο πληροφοριακό σύστημα των Φ.Η.Μ.» (Β΄ 3603), όπως ισχύει.</w:t>
      </w:r>
    </w:p>
    <w:p>
      <w:pPr>
        <w:spacing w:before="240" w:after="240"/>
        <w:rPr>
          <w:lang w:val="el" w:eastAsia="el"/>
        </w:rPr>
      </w:pPr>
      <w:r>
        <w:rPr>
          <w:lang w:val="el" w:eastAsia="el"/>
        </w:rPr>
        <w:t>9. Την υπό στοιχεία ΠΟΛ.1195/2018 Απόφαση του Διοικητή της Α.Α.Δ.Ε. «Προδιαγραφές αναβάθμισης- ρύθμισης των λογισμικών υποστήριξης Ε.Α.Φ.Δ.Σ.Σ. και των αντίστοιχων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(B΄ 4861).</w:t>
      </w:r>
    </w:p>
    <w:p>
      <w:pPr>
        <w:spacing w:before="240" w:after="240"/>
        <w:rPr>
          <w:lang w:val="el" w:eastAsia="el"/>
        </w:rPr>
      </w:pPr>
      <w:r>
        <w:rPr>
          <w:lang w:val="el" w:eastAsia="el"/>
        </w:rPr>
        <w:t>10. Την υπό στοιχεία Α.1024/2020 Απόφαση του Διοικητή της Α.Α.Δ.Ε. «Συμπληρωματικές τεχνικές προδιαγραφές πρωτοκόλλου επικοινωνίας και κρυπτογράφησης για τη διαβίβαση δεδομένων στο πληροφοριακό σύστημα των Φ.Η.Μ.» (Β΄ 317).</w:t>
      </w:r>
    </w:p>
    <w:p>
      <w:pPr>
        <w:spacing w:before="240" w:after="240"/>
        <w:rPr>
          <w:lang w:val="el" w:eastAsia="el"/>
        </w:rPr>
      </w:pPr>
      <w:r>
        <w:rPr>
          <w:lang w:val="el" w:eastAsia="el"/>
        </w:rPr>
        <w:t>11. Την υπό στοιχεία ΠΟΛ.1208/2018 Απόφαση της Υφυπουργού Οικονομικών «Διαβίβαση δεδομένων των παραστατικών πωλήσεων που εκδίδονται από Φ.Η.Μ., που είναι εγκατεστημένες σε πρατήρια καυσίμων, σε εγκαταστάσεις πωλητών πετρελαίου θέρμανσης και σε προμηθευτές υγραερίου ή πεπιεσμένου φυσικού αερίου σε πρατήρια, σε βάση δεδομένων της Ανεξάρτητης Αρχής Δημοσίων Εσόδων (Α.Α.Δ.Ε.)» (Β΄ 5259).</w:t>
      </w:r>
    </w:p>
    <w:p>
      <w:pPr>
        <w:spacing w:before="240" w:after="240"/>
        <w:rPr>
          <w:lang w:val="el" w:eastAsia="el"/>
        </w:rPr>
      </w:pPr>
      <w:r>
        <w:rPr>
          <w:lang w:val="el" w:eastAsia="el"/>
        </w:rPr>
        <w:t>12. Την υπό στοιχεία ΠΟΛ.1218/2018 Απόφαση του Διοικητή της Α.Α.Δ.Ε. «Διασύνδεση των φορολογικών ηλεκτρονικών μηχανισμών (Φ.Η.Μ.) των πρατηρίων καυσίμων με τις αντλίες διάθεσης υγραερίου κίνησης ή πεπιεσμένου φυσικού αερίου για την έκδοση των παραστατικών πωλήσεων. Καθορισμός τεχνικών προδιαγραφών», (Β΄ 5562).</w:t>
      </w:r>
    </w:p>
    <w:p>
      <w:pPr>
        <w:spacing w:before="240" w:after="240"/>
        <w:rPr>
          <w:lang w:val="el" w:eastAsia="el"/>
        </w:rPr>
      </w:pPr>
      <w:r>
        <w:rPr>
          <w:lang w:val="el" w:eastAsia="el"/>
        </w:rPr>
        <w:t>13.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14. Τις διατάξεις του Κεφαλαίου Α΄ «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15. Την υπ΄αρ.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όπως ισχύουν, τις αποφάσεις αριθ. 39/3/30.11.2017 του Συμβουλίου Διοίκησης της Α.Α.Δ.Ε. (Υ.Ο.Δ.Δ. 689)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16. Την ανάγκη ηλεκτρονικής διαβίβασης των δεδομένων των παραστατικών πωλήσεων ενεργειακών προϊόντων της παρ.1 του άρθρου 73 του ν. 2960/2001 (Α΄ 265), όπως ισχύει, στην Ανεξάρτητη Αρχή Δημοσίων Εσόδων (Α.Α.Δ.Ε.), είτε με τη χρήση Φ.Η.Μ. που είναι εγκατεστημένοι σε εγκαταστάσεις οντοτήτων- κατόχων αδειών των άρθρων 5, 6, 7 και 9 του ν. 3054/2002 (Α΄230), είτε με τη χρήση Υπηρεσιών Παρόχου για την Ηλεκτρονική Τιμολόγηση, για την παρακολούθηση των συναλλαγών που διενεργούνται από τις υπόψη οντότητες.</w:t>
      </w:r>
    </w:p>
    <w:p>
      <w:pPr>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την έκταση εφαρμογής, τα δεδομένα που διαβιβάζονται, την διαδικασία, τον χρόνο διαβίβασης και κάθε άλλο αναγκαίο θέμα για την εφαρμογή των οριζομένων στις διατάξεις του άρθρου 15Α του ν. 4174/2013.</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Έκταση εφαρμογής – Δεδομένα που διαβιβάζονται</w:t>
      </w:r>
    </w:p>
    <w:p>
      <w:pPr>
        <w:pStyle w:val="MainText"/>
        <w:spacing w:before="120" w:after="0"/>
        <w:rPr>
          <w:lang w:val="el" w:eastAsia="el"/>
        </w:rPr>
      </w:pPr>
      <w:r>
        <w:rPr>
          <w:b/>
          <w:bCs/>
          <w:lang w:val="el" w:eastAsia="el"/>
        </w:rPr>
        <w:t>1.</w:t>
      </w:r>
      <w:r>
        <w:rPr>
          <w:lang w:val="el" w:eastAsia="el"/>
        </w:rPr>
        <w:t xml:space="preserve"> Ως υπόχρεες οντότητες για την εφαρμογή της παρούσας, νοούνται οι οντότητες- κάτοχοι αδειών, που ορίζονται με τις διατάξεις των άρθρων 5, 6, 7 και 9 του ν. 3054/2002 (Α΄ 230). Ειδικότερα:</w:t>
      </w:r>
    </w:p>
    <w:p>
      <w:pPr>
        <w:pStyle w:val="StructureList1"/>
        <w:spacing w:before="120" w:after="0"/>
        <w:rPr>
          <w:lang w:val="el" w:eastAsia="el"/>
        </w:rPr>
      </w:pPr>
      <w:r>
        <w:rPr>
          <w:lang w:val="el" w:eastAsia="el"/>
        </w:rPr>
        <w:t>α)</w:t>
      </w:r>
      <w:r>
        <w:rPr>
          <w:lang w:val="en" w:eastAsia="en"/>
        </w:rPr>
        <w:tab/>
      </w:r>
      <w:r>
        <w:rPr>
          <w:lang w:val="el" w:eastAsia="el"/>
        </w:rPr>
        <w:t>Οι οντότητες-κάτοχοι αδειών διύλισης, οι οποίες πωλούν σε κατόχους άδειας εμπορίας, προμηθευτικούς συνεταιρισμούς ή κοινοπραξίες πρατηρίων υγρών καυσίμων και υγραερίου κίνησης, σε μεγάλους τελικούς καταναλωτές (π.χ. ΔΕΗ) και στις ένοπλες δυνάμεις</w:t>
      </w:r>
    </w:p>
    <w:p>
      <w:pPr>
        <w:pStyle w:val="StructureList1"/>
        <w:spacing w:before="120" w:after="0"/>
        <w:rPr>
          <w:lang w:val="el" w:eastAsia="el"/>
        </w:rPr>
      </w:pPr>
      <w:r>
        <w:rPr>
          <w:lang w:val="el" w:eastAsia="el"/>
        </w:rPr>
        <w:t>β)</w:t>
      </w:r>
      <w:r>
        <w:rPr>
          <w:lang w:val="en" w:eastAsia="en"/>
        </w:rPr>
        <w:tab/>
      </w:r>
      <w:r>
        <w:rPr>
          <w:lang w:val="el" w:eastAsia="el"/>
        </w:rPr>
        <w:t>Οι οντότητες-κάτοχοι αδειών εμπορίας πετρελαιοειδών, οι οποίες πωλούν σε κατόχους άδειας εμπορίας ή λιανικής εμπορίας, σε μεγάλους τελικούς καταναλωτές ή σε τελικούς καταναλωτές υπό προϋποθέσεις</w:t>
      </w:r>
    </w:p>
    <w:p>
      <w:pPr>
        <w:pStyle w:val="StructureList1"/>
        <w:spacing w:before="120" w:after="0"/>
        <w:rPr>
          <w:lang w:val="el" w:eastAsia="el"/>
        </w:rPr>
      </w:pPr>
      <w:r>
        <w:rPr>
          <w:lang w:val="el" w:eastAsia="el"/>
        </w:rPr>
        <w:t>γ)</w:t>
      </w:r>
      <w:r>
        <w:rPr>
          <w:lang w:val="en" w:eastAsia="en"/>
        </w:rPr>
        <w:tab/>
      </w:r>
      <w:r>
        <w:rPr>
          <w:lang w:val="el" w:eastAsia="el"/>
        </w:rPr>
        <w:t>Οι οντότητες – πρατηριούχοι υγρών καυσίμων, κάτοχοι αδειών λιανικής εμπορίας (που εκδίδονται από το Υπουργείο Υποδομών &amp; Μεταφορών), καθώς επίσης και οι οντότητες κάτοχοι άδειας πώλησης υγραερίων, κάτοχοι άδειας διάθεσης πετρελαίου θέρμανσης, κάτοχοι άδειας εμφιάλωσης υγραερίων και κάτοχοι άδειας διανομής εμφιαλωμένου υγραερίου.</w:t>
      </w:r>
    </w:p>
    <w:p>
      <w:pPr>
        <w:pStyle w:val="MainText"/>
        <w:spacing w:before="120" w:after="0"/>
        <w:rPr>
          <w:lang w:val="el" w:eastAsia="el"/>
        </w:rPr>
      </w:pPr>
      <w:r>
        <w:rPr>
          <w:b/>
          <w:bCs/>
          <w:lang w:val="el" w:eastAsia="el"/>
        </w:rPr>
        <w:t>2.</w:t>
      </w:r>
      <w:r>
        <w:rPr>
          <w:lang w:val="el" w:eastAsia="el"/>
        </w:rPr>
        <w:t xml:space="preserve"> Οι ως άνω υπόχρεες οντότητες υποχρεούνται να διαβιβάζουν, ηλεκτρονικά, είτε με τη χρήση Φ.Η.Μ., είτε με τη χρήση υπηρεσιών παρόχου ηλεκτρονικής τιμολόγησης, τα δεδομένα των εκδιδόμενων παραστατικών πωλήσεων, που αφορούν </w:t>
      </w:r>
      <w:r>
        <w:rPr>
          <w:b/>
          <w:bCs/>
          <w:lang w:val="el" w:eastAsia="el"/>
        </w:rPr>
        <w:t xml:space="preserve">μόνο </w:t>
      </w:r>
      <w:r>
        <w:rPr>
          <w:lang w:val="el" w:eastAsia="el"/>
        </w:rPr>
        <w:t>πωλήσεις ενεργειακών προϊόντων της παραγράφου 1 του άρθρου 73 του ν. 2960/2001, με εξαίρεση τις περιπτώσεις ιστ), ιζ), ιη), ιθ), κ) και κα) της ιδίας παραγράφου.</w:t>
      </w:r>
    </w:p>
    <w:p>
      <w:pPr>
        <w:pStyle w:val="MainText"/>
        <w:spacing w:before="120" w:after="0"/>
        <w:rPr>
          <w:lang w:val="el" w:eastAsia="el"/>
        </w:rPr>
      </w:pPr>
      <w:r>
        <w:rPr>
          <w:b/>
          <w:bCs/>
          <w:lang w:val="el" w:eastAsia="el"/>
        </w:rPr>
        <w:t>3.</w:t>
      </w:r>
      <w:r>
        <w:rPr>
          <w:lang w:val="el" w:eastAsia="el"/>
        </w:rPr>
        <w:t xml:space="preserve"> Τα δεδομένα που διαβιβάζονται είναι τα ακόλουθα:</w:t>
      </w:r>
    </w:p>
    <w:p>
      <w:pPr>
        <w:spacing w:before="240" w:after="240"/>
        <w:rPr>
          <w:lang w:val="el" w:eastAsia="el"/>
        </w:rPr>
      </w:pPr>
      <w:r>
        <w:rPr>
          <w:lang w:val="el" w:eastAsia="el"/>
        </w:rPr>
        <w:t>Α) Για τα εκδιδόμενα λογιστικά στοιχεία χονδρικής πώλησης (τιμολόγια):</w:t>
      </w:r>
    </w:p>
    <w:p>
      <w:pPr>
        <w:pStyle w:val="StructureList1"/>
        <w:spacing w:before="120" w:after="0"/>
        <w:rPr>
          <w:lang w:val="el" w:eastAsia="el"/>
        </w:rPr>
      </w:pPr>
      <w:r>
        <w:rPr>
          <w:lang w:val="el" w:eastAsia="el"/>
        </w:rPr>
        <w:t>α)</w:t>
      </w:r>
      <w:r>
        <w:rPr>
          <w:lang w:val="en" w:eastAsia="en"/>
        </w:rPr>
        <w:tab/>
      </w:r>
      <w:r>
        <w:rPr>
          <w:lang w:val="el" w:eastAsia="el"/>
        </w:rPr>
        <w:t>Α.Φ.Μ. εκδότη</w:t>
      </w:r>
    </w:p>
    <w:p>
      <w:pPr>
        <w:pStyle w:val="StructureList1"/>
        <w:spacing w:before="120" w:after="0"/>
        <w:rPr>
          <w:lang w:val="el" w:eastAsia="el"/>
        </w:rPr>
      </w:pPr>
      <w:r>
        <w:rPr>
          <w:lang w:val="el" w:eastAsia="el"/>
        </w:rPr>
        <w:t>β)</w:t>
      </w:r>
      <w:r>
        <w:rPr>
          <w:lang w:val="en" w:eastAsia="en"/>
        </w:rPr>
        <w:tab/>
      </w:r>
      <w:r>
        <w:rPr>
          <w:lang w:val="el" w:eastAsia="el"/>
        </w:rPr>
        <w:t>Α.Φ.Μ. αντισυμβαλλόμενου</w:t>
      </w:r>
    </w:p>
    <w:p>
      <w:pPr>
        <w:pStyle w:val="StructureList1"/>
        <w:spacing w:before="120" w:after="0"/>
        <w:rPr>
          <w:lang w:val="el" w:eastAsia="el"/>
        </w:rPr>
      </w:pPr>
      <w:r>
        <w:rPr>
          <w:lang w:val="el" w:eastAsia="el"/>
        </w:rPr>
        <w:t>γ)</w:t>
      </w:r>
      <w:r>
        <w:rPr>
          <w:lang w:val="en" w:eastAsia="en"/>
        </w:rPr>
        <w:tab/>
      </w:r>
      <w:r>
        <w:rPr>
          <w:lang w:val="el" w:eastAsia="el"/>
        </w:rPr>
        <w:t>Είδος παραστατικού</w:t>
      </w:r>
    </w:p>
    <w:p>
      <w:pPr>
        <w:pStyle w:val="StructureList1"/>
        <w:spacing w:before="120" w:after="0"/>
        <w:rPr>
          <w:lang w:val="el" w:eastAsia="el"/>
        </w:rPr>
      </w:pPr>
      <w:r>
        <w:rPr>
          <w:lang w:val="el" w:eastAsia="el"/>
        </w:rPr>
        <w:t>δ)</w:t>
      </w:r>
      <w:r>
        <w:rPr>
          <w:lang w:val="en" w:eastAsia="en"/>
        </w:rPr>
        <w:tab/>
      </w:r>
      <w:r>
        <w:rPr>
          <w:lang w:val="el" w:eastAsia="el"/>
        </w:rPr>
        <w:t>Ημερομηνία έκδοσης παραστατικού ε) Σειρά/αριθμός παραστατικού στ) Αριθμός Εγκατάστασης ζ) Είδος καυσίμου</w:t>
      </w:r>
    </w:p>
    <w:p>
      <w:pPr>
        <w:pStyle w:val="StructureList1"/>
        <w:spacing w:before="120" w:after="0"/>
        <w:rPr>
          <w:lang w:val="el" w:eastAsia="el"/>
        </w:rPr>
      </w:pPr>
      <w:r>
        <w:rPr>
          <w:lang w:val="el" w:eastAsia="el"/>
        </w:rPr>
        <w:t>η)</w:t>
      </w:r>
      <w:r>
        <w:rPr>
          <w:lang w:val="en" w:eastAsia="en"/>
        </w:rPr>
        <w:tab/>
      </w:r>
      <w:r>
        <w:rPr>
          <w:lang w:val="el" w:eastAsia="el"/>
        </w:rPr>
        <w:t>Ποσότητα καυσίμου</w:t>
      </w:r>
    </w:p>
    <w:p>
      <w:pPr>
        <w:pStyle w:val="StructureList1"/>
        <w:spacing w:before="120" w:after="0"/>
        <w:rPr>
          <w:lang w:val="el" w:eastAsia="el"/>
        </w:rPr>
      </w:pPr>
      <w:r>
        <w:rPr>
          <w:lang w:val="el" w:eastAsia="el"/>
        </w:rPr>
        <w:t>θ)</w:t>
      </w:r>
      <w:r>
        <w:rPr>
          <w:lang w:val="en" w:eastAsia="en"/>
        </w:rPr>
        <w:tab/>
      </w:r>
      <w:r>
        <w:rPr>
          <w:lang w:val="el" w:eastAsia="el"/>
        </w:rPr>
        <w:t>Αξία συναλλαγής προ Φ.Π.Α.</w:t>
      </w:r>
    </w:p>
    <w:p>
      <w:pPr>
        <w:pStyle w:val="StructureList1"/>
        <w:spacing w:before="120" w:after="0"/>
        <w:rPr>
          <w:lang w:val="el" w:eastAsia="el"/>
        </w:rPr>
      </w:pPr>
      <w:r>
        <w:rPr>
          <w:lang w:val="el" w:eastAsia="el"/>
        </w:rPr>
        <w:t>ι)</w:t>
      </w:r>
      <w:r>
        <w:rPr>
          <w:lang w:val="en" w:eastAsia="en"/>
        </w:rPr>
        <w:tab/>
      </w:r>
      <w:r>
        <w:rPr>
          <w:lang w:val="el" w:eastAsia="el"/>
        </w:rPr>
        <w:t>Αξία Φ.Π.Α. που επιβαρύνει τη συναλλαγή</w:t>
      </w:r>
    </w:p>
    <w:p>
      <w:pPr>
        <w:spacing w:before="240" w:after="240"/>
        <w:rPr>
          <w:lang w:val="el" w:eastAsia="el"/>
        </w:rPr>
      </w:pPr>
      <w:r>
        <w:rPr>
          <w:lang w:val="el" w:eastAsia="el"/>
        </w:rPr>
        <w:t>Β) Για τα εκδιδόμενα λογιστικά στοιχεία λιανικής πώλησης:</w:t>
      </w:r>
    </w:p>
    <w:p>
      <w:pPr>
        <w:pStyle w:val="StructureList1"/>
        <w:spacing w:before="120" w:after="0"/>
        <w:rPr>
          <w:lang w:val="el" w:eastAsia="el"/>
        </w:rPr>
      </w:pPr>
      <w:r>
        <w:rPr>
          <w:lang w:val="el" w:eastAsia="el"/>
        </w:rPr>
        <w:t>α)</w:t>
      </w:r>
      <w:r>
        <w:rPr>
          <w:lang w:val="en" w:eastAsia="en"/>
        </w:rPr>
        <w:tab/>
      </w:r>
      <w:r>
        <w:rPr>
          <w:lang w:val="el" w:eastAsia="el"/>
        </w:rPr>
        <w:t>Α.Φ.Μ. εκδότη</w:t>
      </w:r>
    </w:p>
    <w:p>
      <w:pPr>
        <w:pStyle w:val="StructureList1"/>
        <w:spacing w:before="120" w:after="0"/>
        <w:rPr>
          <w:lang w:val="el" w:eastAsia="el"/>
        </w:rPr>
      </w:pPr>
      <w:r>
        <w:rPr>
          <w:lang w:val="el" w:eastAsia="el"/>
        </w:rPr>
        <w:t>β)</w:t>
      </w:r>
      <w:r>
        <w:rPr>
          <w:lang w:val="en" w:eastAsia="en"/>
        </w:rPr>
        <w:tab/>
      </w:r>
      <w:r>
        <w:rPr>
          <w:lang w:val="el" w:eastAsia="el"/>
        </w:rPr>
        <w:t>Είδος παραστατικού</w:t>
      </w:r>
    </w:p>
    <w:p>
      <w:pPr>
        <w:pStyle w:val="StructureList1"/>
        <w:spacing w:before="120" w:after="0"/>
        <w:rPr>
          <w:lang w:val="el" w:eastAsia="el"/>
        </w:rPr>
      </w:pPr>
      <w:r>
        <w:rPr>
          <w:lang w:val="el" w:eastAsia="el"/>
        </w:rPr>
        <w:t>γ)</w:t>
      </w:r>
      <w:r>
        <w:rPr>
          <w:lang w:val="en" w:eastAsia="en"/>
        </w:rPr>
        <w:tab/>
      </w:r>
      <w:r>
        <w:rPr>
          <w:lang w:val="el" w:eastAsia="el"/>
        </w:rPr>
        <w:t>Ημερομηνία έκδοσης παραστατικού δ) Είδος καυσίμου</w:t>
      </w:r>
    </w:p>
    <w:p>
      <w:pPr>
        <w:pStyle w:val="StructureList1"/>
        <w:spacing w:before="120" w:after="0"/>
        <w:rPr>
          <w:lang w:val="el" w:eastAsia="el"/>
        </w:rPr>
      </w:pPr>
      <w:r>
        <w:rPr>
          <w:lang w:val="el" w:eastAsia="el"/>
        </w:rPr>
        <w:t>ε)</w:t>
      </w:r>
      <w:r>
        <w:rPr>
          <w:lang w:val="en" w:eastAsia="en"/>
        </w:rPr>
        <w:tab/>
      </w:r>
      <w:r>
        <w:rPr>
          <w:lang w:val="el" w:eastAsia="el"/>
        </w:rPr>
        <w:t>Ποσότητα καυσίμου</w:t>
      </w:r>
    </w:p>
    <w:p>
      <w:pPr>
        <w:pStyle w:val="StructureList1"/>
        <w:spacing w:before="120" w:after="0"/>
        <w:rPr>
          <w:lang w:val="el" w:eastAsia="el"/>
        </w:rPr>
      </w:pPr>
      <w:r>
        <w:rPr>
          <w:lang w:val="el" w:eastAsia="el"/>
        </w:rPr>
        <w:t>στ)</w:t>
      </w:r>
      <w:r>
        <w:rPr>
          <w:lang w:val="en" w:eastAsia="en"/>
        </w:rPr>
        <w:tab/>
      </w:r>
      <w:r>
        <w:rPr>
          <w:lang w:val="el" w:eastAsia="el"/>
        </w:rPr>
        <w:t>Αξία συναλλαγής προ Φ.Π.Α.</w:t>
      </w:r>
    </w:p>
    <w:p>
      <w:pPr>
        <w:pStyle w:val="StructureList1"/>
        <w:spacing w:before="120" w:after="0"/>
        <w:rPr>
          <w:lang w:val="el" w:eastAsia="el"/>
        </w:rPr>
      </w:pPr>
      <w:r>
        <w:rPr>
          <w:lang w:val="el" w:eastAsia="el"/>
        </w:rPr>
        <w:t>ζ)</w:t>
      </w:r>
      <w:r>
        <w:rPr>
          <w:lang w:val="en" w:eastAsia="en"/>
        </w:rPr>
        <w:tab/>
      </w:r>
      <w:r>
        <w:rPr>
          <w:lang w:val="el" w:eastAsia="el"/>
        </w:rPr>
        <w:t>Αξία Φ.Π.Α. που επιβαρύνει τη συναλλαγή</w:t>
      </w:r>
    </w:p>
    <w:p>
      <w:pPr>
        <w:pStyle w:val="StructureList1"/>
        <w:spacing w:before="120" w:after="0"/>
        <w:rPr>
          <w:lang w:val="el" w:eastAsia="el"/>
        </w:rPr>
      </w:pPr>
      <w:r>
        <w:rPr>
          <w:lang w:val="el" w:eastAsia="el"/>
        </w:rPr>
        <w:t>η)</w:t>
      </w:r>
      <w:r>
        <w:rPr>
          <w:lang w:val="en" w:eastAsia="en"/>
        </w:rPr>
        <w:tab/>
      </w:r>
      <w:r>
        <w:rPr>
          <w:lang w:val="el" w:eastAsia="el"/>
        </w:rPr>
        <w:t>Αριθμός Εγκατάστασης</w:t>
      </w:r>
    </w:p>
    <w:p>
      <w:pPr>
        <w:pStyle w:val="StructureList1"/>
        <w:spacing w:before="120" w:after="0"/>
        <w:rPr>
          <w:lang w:val="el" w:eastAsia="el"/>
        </w:rPr>
      </w:pPr>
      <w:r>
        <w:rPr>
          <w:lang w:val="el" w:eastAsia="el"/>
        </w:rPr>
        <w:t>θ)</w:t>
      </w:r>
      <w:r>
        <w:rPr>
          <w:lang w:val="en" w:eastAsia="en"/>
        </w:rPr>
        <w:tab/>
      </w:r>
      <w:r>
        <w:rPr>
          <w:lang w:val="el" w:eastAsia="el"/>
        </w:rPr>
        <w:t>Σειρά/αριθμός παραστατικού</w:t>
      </w:r>
    </w:p>
    <w:p>
      <w:pPr>
        <w:pStyle w:val="MainText"/>
        <w:spacing w:before="120" w:after="0"/>
        <w:rPr>
          <w:lang w:val="el" w:eastAsia="el"/>
        </w:rPr>
      </w:pPr>
      <w:r>
        <w:rPr>
          <w:b/>
          <w:bCs/>
          <w:lang w:val="el" w:eastAsia="el"/>
        </w:rPr>
        <w:t>4.</w:t>
      </w:r>
      <w:r>
        <w:rPr>
          <w:lang w:val="el" w:eastAsia="el"/>
        </w:rPr>
        <w:t xml:space="preserve"> Κατ’ όμοιο τρόπο, διαβιβάζονται και τα δεδομένα των συσχετιζόμενων παραστατικών με το εκδοθέν παραστατικό πώλησης, όπως το πιστωτικό και το συμπληρωματικό τιμολόγιο πώλησης, καθώς και το πιστωτικό στοιχείο λιανικής πώλησης.</w:t>
      </w:r>
    </w:p>
    <w:p>
      <w:pPr>
        <w:pStyle w:val="MainText"/>
        <w:spacing w:before="120" w:after="0"/>
        <w:rPr>
          <w:lang w:val="el" w:eastAsia="el"/>
        </w:rPr>
      </w:pPr>
      <w:r>
        <w:rPr>
          <w:b/>
          <w:bCs/>
          <w:lang w:val="el" w:eastAsia="el"/>
        </w:rPr>
        <w:t>5.</w:t>
      </w:r>
      <w:r>
        <w:rPr>
          <w:lang w:val="el" w:eastAsia="el"/>
        </w:rPr>
        <w:t xml:space="preserve"> Οι παράμετροι των αρχείων που διαβιβάζονται, ορίζονται στην απόφαση Διοικητή ΑΑΔΕ ΠΟΛ. 1195/2018, καθώς και στις υπό στοιχεία Α.1017/2020, Α.1035/2020 και Α.1138/2020 αποφάσεις, όπως ισχύουν.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διαβίβασης</w:t>
      </w:r>
    </w:p>
    <w:p>
      <w:pPr>
        <w:spacing w:before="240" w:after="240"/>
        <w:rPr>
          <w:lang w:val="el" w:eastAsia="el"/>
        </w:rPr>
      </w:pPr>
      <w:r>
        <w:rPr>
          <w:lang w:val="el" w:eastAsia="el"/>
        </w:rPr>
        <w:t>Οι ως άνω υπόχρεες οντότητες, διαβιβάζουν αναλυτικά, ανά εκδιδόμενο στοιχείο πώλησης, τα οριζόμενα δεδομένα της παρ. 3 του άρθρου 1, αποκλειστικά, είτε μέσω Φ.Η.Μ. είτε με τη χρήση Υπηρεσιών Παρόχου για την Ηλεκτρονική Τιμολόγηση.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διαβίβασης – Διαδικασία διαβίβασης</w:t>
      </w:r>
    </w:p>
    <w:p>
      <w:pPr>
        <w:pStyle w:val="MainText"/>
        <w:spacing w:before="120" w:after="0"/>
        <w:rPr>
          <w:lang w:val="el" w:eastAsia="el"/>
        </w:rPr>
      </w:pPr>
      <w:r>
        <w:rPr>
          <w:b/>
          <w:bCs/>
          <w:lang w:val="el" w:eastAsia="el"/>
        </w:rPr>
        <w:t>1.</w:t>
      </w:r>
      <w:r>
        <w:rPr>
          <w:lang w:val="el" w:eastAsia="el"/>
        </w:rPr>
        <w:t xml:space="preserve"> Τα οριζόμενα από το άρθρο 1 δεδομένα των εκδιδόμενων λογιστικών στοιχείων, τα οποία αφορούν έσοδα από χονδρικές και λιανικές συναλλαγές της οντότητας, διαβιβάζονται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σε πραγματικό χρόνο, εφόσον διαβιβάζονται μέσω Παρόχου Υπηρεσιών Ηλεκτρονικής Τιμολόγησης,</w:t>
      </w:r>
    </w:p>
    <w:p>
      <w:pPr>
        <w:pStyle w:val="StructureList1"/>
        <w:spacing w:before="120" w:after="0"/>
        <w:rPr>
          <w:lang w:val="el" w:eastAsia="el"/>
        </w:rPr>
      </w:pPr>
      <w:r>
        <w:rPr>
          <w:lang w:val="el" w:eastAsia="el"/>
        </w:rPr>
        <w:t>β)</w:t>
      </w:r>
      <w:r>
        <w:rPr>
          <w:lang w:val="en" w:eastAsia="en"/>
        </w:rPr>
        <w:tab/>
      </w:r>
      <w:r>
        <w:rPr>
          <w:lang w:val="el" w:eastAsia="el"/>
        </w:rPr>
        <w:t>από ένα (1) λεπτό έως και εικοσιτέσσερις (24) ώρες από την ημερομηνία έκδοσης του στοιχείου, εφόσον διαβιβάζονται με τη χρήση Φ.Η.Μ..</w:t>
      </w:r>
    </w:p>
    <w:p>
      <w:pPr>
        <w:pStyle w:val="MainText"/>
        <w:spacing w:before="120" w:after="0"/>
        <w:rPr>
          <w:lang w:val="el" w:eastAsia="el"/>
        </w:rPr>
      </w:pPr>
      <w:r>
        <w:rPr>
          <w:b/>
          <w:bCs/>
          <w:lang w:val="el" w:eastAsia="el"/>
        </w:rPr>
        <w:t>2.</w:t>
      </w:r>
      <w:r>
        <w:rPr>
          <w:lang w:val="el" w:eastAsia="el"/>
        </w:rPr>
        <w:t xml:space="preserve"> Εξαιρετικά, οι οντότητες- πωλητές πετρελαίου θέρμανσης, καθώς και οι μεταπωλητές πετρελαίου θέρμανσης άνευ αποθηκευτικών χώρων, που διενεργούν λιανικές πωλήσεις πετρελαίου θέρμανσης εκτός της εγκατάστασής τους, για τις ποσότητες που διατίθενται επί των βυτιοφόρων φορτηγών αυτοκινήτων, υποχρεούνται στη διαβίβαση των υπόψη δεδομένων στην Α.Α.Δ.Ε., είτε μέσω Φ.Η.Μ. είτε μέσω Παρόχου Υπηρεσιών Ηλεκτρονικής Τιμολόγησης, από την 01/07/2021.</w:t>
      </w:r>
    </w:p>
    <w:p>
      <w:pPr>
        <w:pStyle w:val="MainText"/>
        <w:spacing w:before="120" w:after="0"/>
        <w:rPr>
          <w:lang w:val="el" w:eastAsia="el"/>
        </w:rPr>
      </w:pPr>
      <w:r>
        <w:rPr>
          <w:b/>
          <w:bCs/>
          <w:lang w:val="el" w:eastAsia="el"/>
        </w:rPr>
        <w:t>3.</w:t>
      </w:r>
      <w:r>
        <w:rPr>
          <w:lang w:val="el" w:eastAsia="el"/>
        </w:rPr>
        <w:t xml:space="preserve"> Τα ως άνω οριζόμενα δεδομένα διαβιβάζονται στην Α.Α.Δ.Ε ως ακολούθως:</w:t>
      </w:r>
    </w:p>
    <w:p>
      <w:pPr>
        <w:pStyle w:val="StructureList1"/>
        <w:spacing w:before="120" w:after="0"/>
        <w:rPr>
          <w:lang w:val="el" w:eastAsia="el"/>
        </w:rPr>
      </w:pPr>
      <w:r>
        <w:rPr>
          <w:lang w:val="el" w:eastAsia="el"/>
        </w:rPr>
        <w:t>α)</w:t>
      </w:r>
      <w:r>
        <w:rPr>
          <w:lang w:val="en" w:eastAsia="en"/>
        </w:rPr>
        <w:tab/>
      </w:r>
      <w:r>
        <w:rPr>
          <w:lang w:val="el" w:eastAsia="el"/>
        </w:rPr>
        <w:t>Στην περίπτωση χρήσης Φ.Η.Μ., τα δεδομένα διαβιβάζονται σύμφωνα με τις συμπληρωματικές τεχνικές προδιαγραφές πρωτοκόλλου επικοινωνίας και κρυπτογράφησης για τη διαβίβαση δεδομένων από τους Φ.Η.Μ., που παρασχέθηκαν με την υπό στοιχεία Α.1024/2020 Απόφαση του Διοικητή της Α.Α.Δ.Ε..</w:t>
      </w:r>
    </w:p>
    <w:p>
      <w:pPr>
        <w:pStyle w:val="StructureList1"/>
        <w:spacing w:before="120" w:after="0"/>
        <w:rPr>
          <w:lang w:val="el" w:eastAsia="el"/>
        </w:rPr>
      </w:pPr>
      <w:r>
        <w:rPr>
          <w:lang w:val="el" w:eastAsia="el"/>
        </w:rPr>
        <w:t>β)</w:t>
      </w:r>
      <w:r>
        <w:rPr>
          <w:lang w:val="en" w:eastAsia="en"/>
        </w:rPr>
        <w:tab/>
      </w:r>
      <w:r>
        <w:rPr>
          <w:lang w:val="el" w:eastAsia="el"/>
        </w:rPr>
        <w:t>Στην περίπτωση χρήσης Υπηρεσιών Παρόχου για την Ηλεκτρονική Τιμολόγηση, τα δεδομένα διαβιβάζονται σύμφωνα με τις τεχνικές προδιαγραφές που παρασχέθηκαν με τις υπό στοιχεία Α.1017/2020 και Α. 1035/2020 Α.Υ.Ο.</w:t>
      </w:r>
    </w:p>
    <w:p>
      <w:pPr>
        <w:spacing w:before="240" w:after="240"/>
        <w:rPr>
          <w:lang w:val="el" w:eastAsia="el"/>
        </w:rPr>
      </w:pPr>
      <w:r>
        <w:rPr>
          <w:lang w:val="el" w:eastAsia="el"/>
        </w:rPr>
        <w:t>Τα ως άνω αναφερόμενα δεδομένα ενημερώνουν και την ψηφιακή πλατφόρμα myDATA στο πλαίσιο εφαρμογής των διατάξεων της υπό στοιχεία Α.1138/2020 κοινής Απόφασης του Υπουργού Οικονομικών και του Διοικητή της Α.Α.Δ.Ε όπως ισχύει.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ισχύει από την 01/07/2021.</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2. Αποδέκτες πίνακα Β΄ (εκτός του αριθμού 2 αυτού)</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κου Υφυπουργού</w:t>
      </w:r>
    </w:p>
    <w:p>
      <w:pPr>
        <w:spacing w:before="240" w:after="240"/>
        <w:rPr>
          <w:lang w:val="el" w:eastAsia="el"/>
        </w:rPr>
      </w:pPr>
      <w:r>
        <w:rPr>
          <w:lang w:val="el" w:eastAsia="el"/>
        </w:rPr>
        <w:t>3. Προϊστάμενος της Γενικής Δ/νσης Σ.Δ.Ο.Ε.</w:t>
      </w:r>
    </w:p>
    <w:p>
      <w:pPr>
        <w:spacing w:before="240" w:after="240"/>
        <w:rPr>
          <w:lang w:val="el" w:eastAsia="el"/>
        </w:rPr>
      </w:pPr>
      <w:r>
        <w:rPr>
          <w:lang w:val="el" w:eastAsia="el"/>
        </w:rPr>
        <w:t>4. Δ/νσεις Κ.Υ. ΣΔΟΕ και ειδικές αποκεντρωμένες υπηρεσίες ΣΔΟΕ</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ΙΣΤ΄ (μόνο οι αριθμοί 3, 7, 34)</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Οικονομικό Επιμελητήριο Ελλάδας (Πίνακας ΙΒ’)</w:t>
      </w:r>
    </w:p>
    <w:p>
      <w:pPr>
        <w:spacing w:before="240" w:after="240"/>
        <w:rPr>
          <w:lang w:val="el" w:eastAsia="el"/>
        </w:rPr>
      </w:pPr>
      <w:r>
        <w:rPr>
          <w:lang w:val="el" w:eastAsia="el"/>
        </w:rPr>
        <w:t>9. Περιοδικό Φορολογική Επιθεώρηση (Πίνακας Ζ’)</w:t>
      </w:r>
    </w:p>
    <w:p>
      <w:pPr>
        <w:spacing w:before="240" w:after="240"/>
        <w:rPr>
          <w:lang w:val="el" w:eastAsia="el"/>
        </w:rPr>
      </w:pPr>
      <w:r>
        <w:rPr>
          <w:lang w:val="el" w:eastAsia="el"/>
        </w:rPr>
        <w:t>10. Π.Ο.Ε.-Δ.Ο.Υ.</w:t>
      </w:r>
    </w:p>
    <w:p>
      <w:pPr>
        <w:spacing w:before="240" w:after="240"/>
        <w:rPr>
          <w:lang w:val="el" w:eastAsia="el"/>
        </w:rPr>
      </w:pPr>
      <w:r>
        <w:rPr>
          <w:lang w:val="el" w:eastAsia="el"/>
        </w:rPr>
        <w:t>11.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12.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 xml:space="preserve">13. Σύνδεσμος Εισαγωγέων και Κατασκευαστών Ταμειακών Συστημάτων (ΣΕΚΤ) -Λ. Αθηνών 165 ΤΚ 12461 Χαϊδάρι. Για την ενημέρωση των μελών του. </w:t>
      </w:r>
      <w:r>
        <w:rPr>
          <w:b/>
          <w:bCs/>
          <w:lang w:val="el" w:eastAsia="el"/>
        </w:rPr>
        <w:t>14</w:t>
      </w:r>
      <w:r>
        <w:rPr>
          <w:lang w:val="el" w:eastAsia="el"/>
        </w:rPr>
        <w:t>.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15. Ομοσπονδία Βενζινοπωλών Ελλάδος (Ο.Β.Ε.) Λόντου 8 ΤΚ 10681 Αθήνα. Για την ενημέρωση των μελών του.</w:t>
      </w:r>
    </w:p>
    <w:p>
      <w:pPr>
        <w:spacing w:before="240" w:after="240"/>
        <w:rPr>
          <w:lang w:val="el" w:eastAsia="el"/>
        </w:rPr>
      </w:pPr>
      <w:r>
        <w:rPr>
          <w:lang w:val="el" w:eastAsia="el"/>
        </w:rPr>
        <w:t>16. Πανελλήνια Ομοσπονδία Πρατηριούχων Εμπόρων Καυσίμων (Π.Ο.Π.Ε.Κ.) Αμερικής 10 ΤΚ 10671 Αθήνα . Για την ενημέρωση των μελών του.</w:t>
      </w:r>
    </w:p>
    <w:p>
      <w:pPr>
        <w:spacing w:before="240" w:after="240"/>
        <w:rPr>
          <w:lang w:val="el" w:eastAsia="el"/>
        </w:rPr>
      </w:pPr>
      <w:r>
        <w:rPr>
          <w:lang w:val="el" w:eastAsia="el"/>
        </w:rPr>
        <w:t>17. Σύνδεσμος Εταιρειών Εμπορίας Πετρελαιοειδών Ελλάδος (Σ.Ε.Ε.Π.Ε.) Ίωνος Δραγούμη 46 Ιλίσια, ΤΚ 11528 Αθήνα. Για την ενημέρωση των μελών του.</w:t>
      </w:r>
    </w:p>
    <w:p>
      <w:pPr>
        <w:spacing w:before="240" w:after="240"/>
        <w:rPr>
          <w:lang w:val="el" w:eastAsia="el"/>
        </w:rPr>
      </w:pPr>
      <w:r>
        <w:rPr>
          <w:lang w:val="el" w:eastAsia="el"/>
        </w:rPr>
        <w:t>18. Υπουργείο Οικονομίας και Ανάπτυξης. Γενική Γραμματεία Εμπορίου και Προστασίας Καταναλωτή.</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Διευθύνσεις της Γενικής Διεύθυνσης Τελωνείων &amp; Ειδικών Φόρων Κατανάλωσης</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Διεύθυνση Διαχείρισης Υποδομών- Τμήμα Ε΄</w:t>
      </w:r>
    </w:p>
    <w:p>
      <w:pPr>
        <w:spacing w:before="240" w:after="240"/>
        <w:rPr>
          <w:lang w:val="el" w:eastAsia="el"/>
        </w:rPr>
      </w:pPr>
      <w:r>
        <w:rPr>
          <w:lang w:val="el" w:eastAsia="el"/>
        </w:rPr>
        <w:t>7. 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