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spacing w:after="240"/>
        <w:rPr>
          <w:lang w:val="el" w:eastAsia="el"/>
        </w:rPr>
      </w:pPr>
      <w:r>
        <w:rPr>
          <w:b/>
          <w:bCs/>
          <w:lang w:val="el" w:eastAsia="el"/>
        </w:rPr>
        <w:t>ΕΛΛΗΝΙΚΗ ΔΗΜΟΚΡΑΤΙΑ</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 ΨΘ6Β46ΜΠ3Ζ-ΜΡ6</w:t>
      </w:r>
    </w:p>
    <w:p>
      <w:pPr>
        <w:spacing w:before="240" w:after="240"/>
        <w:rPr>
          <w:lang w:val="el" w:eastAsia="el"/>
        </w:rPr>
      </w:pPr>
      <w:r>
        <w:rPr>
          <w:b/>
          <w:bCs/>
          <w:lang w:val="el" w:eastAsia="el"/>
        </w:rPr>
        <w:t>ΑΡΙΘ. ΦΕΚ: /1253 Β/ 31.03.2021</w:t>
      </w:r>
    </w:p>
    <w:p>
      <w:pPr>
        <w:spacing w:before="240" w:after="240"/>
        <w:rPr>
          <w:lang w:val="el" w:eastAsia="el"/>
        </w:rPr>
      </w:pPr>
      <w:r>
        <w:rPr>
          <w:b/>
          <w:bCs/>
          <w:lang w:val="el" w:eastAsia="el"/>
        </w:rPr>
        <w:t>Μοσχάτο, 26-3-2021</w:t>
      </w:r>
    </w:p>
    <w:p>
      <w:pPr>
        <w:spacing w:before="240" w:after="240"/>
        <w:rPr>
          <w:lang w:val="el" w:eastAsia="el"/>
        </w:rPr>
      </w:pPr>
      <w:r>
        <w:rPr>
          <w:b/>
          <w:bCs/>
          <w:lang w:val="el" w:eastAsia="el"/>
        </w:rPr>
        <w:t>Α.1073</w:t>
      </w:r>
    </w:p>
    <w:p>
      <w:pPr>
        <w:spacing w:before="240" w:after="240"/>
        <w:rPr>
          <w:lang w:val="el" w:eastAsia="el"/>
        </w:rPr>
      </w:pPr>
      <w:r>
        <w:rPr>
          <w:b/>
          <w:bCs/>
          <w:lang w:val="el" w:eastAsia="el"/>
        </w:rPr>
        <w:t xml:space="preserve">ΠΡΟΣ: </w:t>
      </w:r>
      <w:r>
        <w:rPr>
          <w:lang w:val="el" w:eastAsia="el"/>
        </w:rPr>
        <w:t>Ως Πίνακας Διανομής</w:t>
      </w:r>
    </w:p>
    <w:p>
      <w:pPr>
        <w:spacing w:before="240" w:after="240"/>
        <w:rPr>
          <w:lang w:val="el" w:eastAsia="el"/>
        </w:rPr>
      </w:pPr>
      <w:r>
        <w:rPr>
          <w:b/>
          <w:bCs/>
          <w:lang w:val="el" w:eastAsia="el"/>
        </w:rPr>
        <w:t>ΘEΜA: Παράταση έως 30/06/2021 της προθεσμίας αναβάθμισης των ενεργών ΦΗΜ σύμφωνα με τα οριζόμενα στην Απόφαση Διοικητή ΑΑΔΕ Α.1024/2020 «Συμπληρωματικές τεχνικές προδιαγραφές πρωτοκόλλου επικοινωνίας και κρυπτογράφησης για την διαβίβαση δεδομένων στο πληροφοριακό σύστημα των ΦΗΜ» (Β’ 317), όπως ισχύει.</w:t>
      </w:r>
    </w:p>
    <w:p>
      <w:pPr>
        <w:spacing w:before="240" w:after="240"/>
        <w:rPr>
          <w:lang w:val="el" w:eastAsia="el"/>
        </w:rPr>
      </w:pPr>
      <w:r>
        <w:rPr>
          <w:b/>
          <w:bCs/>
          <w:lang w:val="el" w:eastAsia="el"/>
        </w:rPr>
        <w:t>ΑΠΟΦΑΣΗO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Των άρθρων 12 και 40 του ν. 4308/2014 (A’ 251) «Ελληνικά Λογιστικά Πρότυπα συναφείς ρυθμίσεις και άλλες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Της Απόφασης Διοικητή ΑΑΔΕ Α.1024/2020 (Β’ 317) «Συμπληρωματικές τεχνικές προδιαγραφές πρωτοκόλλου επικοινωνίας και κρυπτογράφησης για την διαβίβαση δεδομένων στο πληροφοριακό σύστημα των ΦΗΜ», όπως τροποποιήθηκε με τις Αποφάσεις Διοικητή ΑΑΔΕ Α.1102/2020 (Β’ 1812), Α.1175/2020(Β’3293) Α.1239/2020(Β’4755) και Α.1282/2020(Β’5830).</w:t>
      </w:r>
    </w:p>
    <w:p>
      <w:pPr>
        <w:pStyle w:val="StructureList1"/>
        <w:spacing w:before="120" w:after="0"/>
        <w:rPr>
          <w:lang w:val="el" w:eastAsia="el"/>
        </w:rPr>
      </w:pPr>
      <w:r>
        <w:rPr>
          <w:b/>
          <w:bCs/>
          <w:lang w:val="el" w:eastAsia="el"/>
        </w:rPr>
        <w:t>γ)</w:t>
      </w:r>
      <w:r>
        <w:rPr>
          <w:b/>
          <w:bCs/>
          <w:lang w:val="en" w:eastAsia="en"/>
        </w:rPr>
        <w:tab/>
      </w:r>
      <w:r>
        <w:rPr>
          <w:b/>
          <w:bCs/>
          <w:lang w:val="el" w:eastAsia="el"/>
        </w:rPr>
        <w:t>Της Απόφασης Διοικητή ΑΑΔΕ ΠΟΛ 1166/2018 (Β’ 3603) «Τεχνικές προδιαγραφές πρωτοκόλλου επικοινωνίας και κρυπτογράφησης για την διαβίβαση δεδομένων στο πληροφοριακό σύστημα των ΦΗΜ».</w:t>
      </w:r>
    </w:p>
    <w:p>
      <w:pPr>
        <w:pStyle w:val="StructureList1"/>
        <w:spacing w:before="120" w:after="0"/>
        <w:rPr>
          <w:lang w:val="el" w:eastAsia="el"/>
        </w:rPr>
      </w:pPr>
      <w:r>
        <w:rPr>
          <w:b/>
          <w:bCs/>
          <w:lang w:val="el" w:eastAsia="el"/>
        </w:rPr>
        <w:t>δ)</w:t>
      </w:r>
      <w:r>
        <w:rPr>
          <w:b/>
          <w:bCs/>
          <w:lang w:val="en" w:eastAsia="en"/>
        </w:rPr>
        <w:tab/>
      </w:r>
      <w:r>
        <w:rPr>
          <w:b/>
          <w:bCs/>
          <w:lang w:val="el" w:eastAsia="el"/>
        </w:rPr>
        <w:t>Της Α.Υ.Ο. ΠΟΛ.1220/2012 (Β’ 3517) «Κωδικοποίηση – Συμπλήρωση τεχνικών προδιαγραφών Φορολογικών Ηλεκτρονικών Μηχανισμών και συστημάτων. Διαδικασίες χρήσης και λειτουργίας τους. Προδιαγραφές αποστελλομένων αρχείων στην ΓΓΠΣ. ».</w:t>
      </w:r>
    </w:p>
    <w:p>
      <w:pPr>
        <w:pStyle w:val="StructureList1"/>
        <w:spacing w:before="120" w:after="0"/>
        <w:rPr>
          <w:lang w:val="el" w:eastAsia="el"/>
        </w:rPr>
      </w:pPr>
      <w:r>
        <w:rPr>
          <w:b/>
          <w:bCs/>
          <w:lang w:val="el" w:eastAsia="el"/>
        </w:rPr>
        <w:t>ε)</w:t>
      </w:r>
      <w:r>
        <w:rPr>
          <w:b/>
          <w:bCs/>
          <w:lang w:val="en" w:eastAsia="en"/>
        </w:rPr>
        <w:tab/>
      </w:r>
      <w:r>
        <w:rPr>
          <w:b/>
          <w:bCs/>
          <w:lang w:val="el" w:eastAsia="el"/>
        </w:rPr>
        <w:t>της Α.Υ.Ο. ΠΟΛ 1221/2012 (Β’ 3513) «Αναβάθμιση λογισμικών υποστήριξης των Ε.Α.Φ.Δ.Σ.Σ. - Καθορισμός αποστελλομένων αρχείων δεδομένων των φορολογικών στοιχείων στην Γ.Γ.Π.Σ. κατ' εφαρμογή των διατάξεων του άρθρου 20 του Ν. 3842/2010 (ΦΕΚ 58/Α/23.4.2010)»</w:t>
      </w:r>
    </w:p>
    <w:p>
      <w:pPr>
        <w:pStyle w:val="StructureList1"/>
        <w:spacing w:before="120" w:after="0"/>
        <w:rPr>
          <w:lang w:val="el" w:eastAsia="el"/>
        </w:rPr>
      </w:pPr>
      <w:r>
        <w:rPr>
          <w:b/>
          <w:bCs/>
          <w:lang w:val="el" w:eastAsia="el"/>
        </w:rPr>
        <w:t>στ)</w:t>
      </w:r>
      <w:r>
        <w:rPr>
          <w:b/>
          <w:bCs/>
          <w:lang w:val="en" w:eastAsia="en"/>
        </w:rPr>
        <w:tab/>
      </w:r>
      <w:r>
        <w:rPr>
          <w:b/>
          <w:bCs/>
          <w:lang w:val="el" w:eastAsia="el"/>
        </w:rPr>
        <w:t>Της Απόφασης Γ.Γ.Δ.Ε ΠΟΛ 1068/1-4-2015 (Β’497) «Διαδικασίες έγκρισης και ανάκλησης Φ.Η.Μ.. Υποχρεώσεις κατόχων άδειας καταλληλότητας Φορολογικών Ηλεκτρονικών Μηχανισμών (Φ.Η.Μ.), πωλητών Φ.Η.Μ., πιστοποιημένων τεχνικών Φ.Η.Μ., κατόχων – χρηστών Φ.Η.Μ..»</w:t>
      </w:r>
    </w:p>
    <w:p>
      <w:pPr>
        <w:pStyle w:val="StructureList1"/>
        <w:spacing w:before="120" w:after="0"/>
        <w:rPr>
          <w:lang w:val="el" w:eastAsia="el"/>
        </w:rPr>
      </w:pPr>
      <w:r>
        <w:rPr>
          <w:b/>
          <w:bCs/>
          <w:lang w:val="el" w:eastAsia="el"/>
        </w:rPr>
        <w:t>ζ)</w:t>
      </w:r>
      <w:r>
        <w:rPr>
          <w:b/>
          <w:bCs/>
          <w:lang w:val="en" w:eastAsia="en"/>
        </w:rPr>
        <w:tab/>
      </w:r>
      <w:r>
        <w:rPr>
          <w:b/>
          <w:bCs/>
          <w:lang w:val="el" w:eastAsia="el"/>
        </w:rPr>
        <w:t>του Κεφαλαίου Α’ «Σύσταση Ανεξάρτητης Αρχής Δημοσίων Εσόδων» του ν. 4389/2016 (Α΄ 94) και ειδικότερα της παραγράφου 1 του άρθρου 2, του άρθρου 7, των παραγράφων 1 και 5 του άρθρου 14 και του άρθρου 41 αυτού.</w:t>
      </w:r>
    </w:p>
    <w:p>
      <w:pPr>
        <w:pStyle w:val="StructureList1"/>
        <w:spacing w:before="120" w:after="0"/>
        <w:rPr>
          <w:lang w:val="el" w:eastAsia="el"/>
        </w:rPr>
      </w:pPr>
      <w:r>
        <w:rPr>
          <w:b/>
          <w:bCs/>
          <w:lang w:val="el" w:eastAsia="el"/>
        </w:rPr>
        <w:t>η)</w:t>
      </w:r>
      <w:r>
        <w:rPr>
          <w:b/>
          <w:bCs/>
          <w:lang w:val="en" w:eastAsia="en"/>
        </w:rPr>
        <w:tab/>
      </w:r>
      <w:r>
        <w:rPr>
          <w:b/>
          <w:bCs/>
          <w:lang w:val="el" w:eastAsia="el"/>
        </w:rPr>
        <w:t>της αριθ. Δ. ΟΡΓ. Α 1125859 ΕΞ 2020/23-10-2020 (Β΄ 4738) απόφασης του Διοικητή της Ανεξάρτητης Αρχής Δημοσίων Εσόδων «Οργανισμός της Ανεξάρτητης Αρχής Δημοσίων Εσόδων (Α.Α.Δ.Ε.)», όπως ισχύει</w:t>
      </w:r>
    </w:p>
    <w:p>
      <w:pPr>
        <w:spacing w:before="240" w:after="240"/>
        <w:rPr>
          <w:lang w:val="el" w:eastAsia="el"/>
        </w:rPr>
      </w:pPr>
      <w:r>
        <w:rPr>
          <w:b/>
          <w:bCs/>
          <w:lang w:val="el" w:eastAsia="el"/>
        </w:rPr>
        <w:t>2. Την αριθ. 1 της 20.01.2016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 4389/2016, όπως ισχύουν, τις αποφάσεις αριθ. 39/3/30.11.2017(ΥΟΔΔ 689) του Συμβουλίου Διοίκησης της ΑΑΔΕ και αριθ. (5294 ΕΞ 2020/17.01.2020 (Υ.Ο.Δ.Δ. 27) του Υπουργού Οικονομικών με θέμα «Ανανέωση της θητείας του Διοικητή της Ανεξάρτητης Αρχής Δημοσίων Εσόδων».</w:t>
      </w:r>
    </w:p>
    <w:p>
      <w:pPr>
        <w:spacing w:before="240" w:after="240"/>
        <w:rPr>
          <w:lang w:val="el" w:eastAsia="el"/>
        </w:rPr>
      </w:pPr>
      <w:r>
        <w:rPr>
          <w:b/>
          <w:bCs/>
          <w:lang w:val="el" w:eastAsia="el"/>
        </w:rPr>
        <w:t>3. Την ανάγκη παροχής πρόσθετου χρόνου για τη διευκόλυνση των επιχειρήσεων ως προς την εκπλήρωση της υποχρέωσης αναβάθμισης λογισμικών των χρησιμοποιούμενων Φορολογικών Ηλεκτρονικών Μηχανισμών (Φορολογικών Ταμειακών Μηχανών, ΑΔΗΜΕ, ΕΑΦΔΣΣ, ΑΔΗΜΕ ταξιμέτρου), που αφορούν στο πρωτόκολλο επικοινωνίας και κρυπτογράφησης για την διαβίβαση των δεδομένων τους στο πληροφοριακό σύστημα των ΦΗΜ, σε συνάφεια με τα μέτρα που λαμβάνονται για την αντιμετώπιση των αρνητικών συνεπειών εμφάνισης του ιού COVID-19 και της ανάγκης περιορισμού της διάδοσής του.</w:t>
      </w:r>
    </w:p>
    <w:p>
      <w:pPr>
        <w:spacing w:before="240" w:after="240"/>
        <w:rPr>
          <w:lang w:val="el" w:eastAsia="el"/>
        </w:rPr>
      </w:pPr>
      <w:r>
        <w:rPr>
          <w:b/>
          <w:bCs/>
          <w:lang w:val="el" w:eastAsia="el"/>
        </w:rPr>
        <w:t>4. 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spacing w:before="240" w:after="240"/>
        <w:rPr>
          <w:lang w:val="el" w:eastAsia="el"/>
        </w:rPr>
      </w:pPr>
      <w:r>
        <w:rPr>
          <w:b/>
          <w:bCs/>
          <w:lang w:val="el" w:eastAsia="el"/>
        </w:rPr>
        <w:t>Τροποποιούμε την Απόφαση του Διοικητή της Α.Α.Δ.Ε. Α.1024/2020 (Β’ 317) «Συμπληρωματικές τεχνικές προδιαγραφές πρωτοκόλλου επικοινωνίας και κρυπτογράφησης για την διαβίβαση δεδομένων στο πληροφοριακό σύστημα των ΦΗΜ», όπως ισχύει, ως ακολούθως:</w:t>
      </w:r>
    </w:p>
    <w:p>
      <w:pPr>
        <w:spacing w:before="240" w:after="240"/>
        <w:rPr>
          <w:lang w:val="el" w:eastAsia="el"/>
        </w:rPr>
      </w:pPr>
      <w:r>
        <w:rPr>
          <w:b/>
          <w:bCs/>
          <w:lang w:val="el" w:eastAsia="el"/>
        </w:rPr>
        <w:t>Η περίπτωση β’ της παραγράφου 6.3 του άρθρου 6 αντικαθίσταται ως εξής:</w:t>
      </w:r>
    </w:p>
    <w:p>
      <w:pPr>
        <w:spacing w:before="240" w:after="240"/>
        <w:rPr>
          <w:lang w:val="el" w:eastAsia="el"/>
        </w:rPr>
      </w:pPr>
      <w:r>
        <w:rPr>
          <w:b/>
          <w:bCs/>
          <w:lang w:val="el" w:eastAsia="el"/>
        </w:rPr>
        <w:t xml:space="preserve">«β. Με εξαίρεση τις ΑΔΗΜΕ ταξιμέτρου, οι υπάρχοντες ενεργοί ΦΗΜ υποχρεούνται σε αναβάθμιση σύμφωνα με τα οριζόμενα στην παρούσα μέχρι </w:t>
      </w:r>
      <w:r>
        <w:rPr>
          <w:b/>
          <w:bCs/>
          <w:lang w:val="el" w:eastAsia="el"/>
        </w:rPr>
        <w:t>30/06/2021</w:t>
      </w:r>
      <w:r>
        <w:rPr>
          <w:b/>
          <w:bCs/>
          <w:lang w:val="el" w:eastAsia="el"/>
        </w:rPr>
        <w:t>.».</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Διοικητής της Ανεξάρτητης Αρχής Δημοσίων Εσόδων Γεώργιος Πιτσιλής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I. </w:t>
      </w:r>
      <w:r>
        <w:rPr>
          <w:b/>
          <w:bCs/>
          <w:u w:val="single"/>
          <w:lang w:val="el" w:eastAsia="el"/>
        </w:rPr>
        <w:t>ΑΠΟΔΕΚΤΕΣ ΓΙΑ ΕΝΕΡΓΕΙΑ</w:t>
      </w:r>
    </w:p>
    <w:p>
      <w:pPr>
        <w:spacing w:before="240" w:after="240"/>
        <w:rPr>
          <w:lang w:val="el" w:eastAsia="el"/>
        </w:rPr>
      </w:pPr>
      <w:r>
        <w:rPr>
          <w:b/>
          <w:bCs/>
          <w:lang w:val="el" w:eastAsia="el"/>
        </w:rPr>
        <w:t>1. Εθνικό Τυπογραφείο (ηλεκτρονική διεύθυνση “webmaster.et@et.gr”), για δημοσίευση της απόφασης</w:t>
      </w:r>
    </w:p>
    <w:p>
      <w:pPr>
        <w:spacing w:before="240" w:after="240"/>
        <w:rPr>
          <w:lang w:val="el" w:eastAsia="el"/>
        </w:rPr>
      </w:pPr>
      <w:r>
        <w:rPr>
          <w:b/>
          <w:bCs/>
          <w:lang w:val="el" w:eastAsia="el"/>
        </w:rPr>
        <w:t>2. Σύνδεσμος Εισαγωγέων και Κατασκευαστών Ταμειακών Συστημάτων (ΣΕΚΤ) -Λ. Αθηνών 165 ΤΚ 12461 Χαϊδάρι. Για την ενημέρωση των μελών του</w:t>
      </w:r>
    </w:p>
    <w:p>
      <w:pPr>
        <w:spacing w:before="240" w:after="240"/>
        <w:rPr>
          <w:lang w:val="el" w:eastAsia="el"/>
        </w:rPr>
      </w:pPr>
      <w:r>
        <w:rPr>
          <w:b/>
          <w:bCs/>
          <w:lang w:val="el" w:eastAsia="el"/>
        </w:rPr>
        <w:t>3. Σύνδεσμος Επιχειρήσεων Πληροφορικής &amp; Επικοινωνιών Ελλάδας (ΣΕΠΕ) Αμβροσίου Φραντζή 19 ΤΚ 11743 Αθήνα. Για την ενημέρωση των μελών του</w:t>
      </w:r>
    </w:p>
    <w:p>
      <w:pPr>
        <w:spacing w:before="240" w:after="240"/>
        <w:rPr>
          <w:lang w:val="el" w:eastAsia="el"/>
        </w:rPr>
      </w:pPr>
      <w:r>
        <w:rPr>
          <w:b/>
          <w:bCs/>
          <w:lang w:val="el" w:eastAsia="el"/>
        </w:rPr>
        <w:t>4. ΔΙ.Σ.ΤΕ.ΠΛ.(με την παράκληση ανάρτησης στην ιστοσελίδα της Α.Α.Δ.Ε.)</w:t>
      </w:r>
    </w:p>
    <w:p>
      <w:pPr>
        <w:spacing w:before="240" w:after="240"/>
        <w:rPr>
          <w:lang w:val="el" w:eastAsia="el"/>
        </w:rPr>
      </w:pPr>
      <w:r>
        <w:rPr>
          <w:b/>
          <w:bCs/>
          <w:lang w:val="el" w:eastAsia="el"/>
        </w:rPr>
        <w:t xml:space="preserve">ΙΙ. </w:t>
      </w:r>
      <w:r>
        <w:rPr>
          <w:b/>
          <w:bCs/>
          <w:u w:val="single"/>
          <w:lang w:val="el" w:eastAsia="el"/>
        </w:rPr>
        <w:t>ΑΠΟΔΕΚΤΕΣ ΓΙΑ ΚΟΙΝΟΠΟΙΗΣΗ</w:t>
      </w:r>
    </w:p>
    <w:p>
      <w:pPr>
        <w:spacing w:before="240" w:after="240"/>
        <w:rPr>
          <w:lang w:val="el" w:eastAsia="el"/>
        </w:rPr>
      </w:pPr>
      <w:r>
        <w:rPr>
          <w:b/>
          <w:bCs/>
          <w:lang w:val="el" w:eastAsia="el"/>
        </w:rPr>
        <w:t>1. Ε.Μ.Π.-Σχολή Ηλεκτρολόγων Μηχανικών &amp; Μηχανικών Υπολογιστών – Τομέας Ηλεκτρικής Ισχύος – Εργαστήριο Υψηλών Τάσεων, Ηρώων Πολυτεχνείου 9, Πολυτεχνειούπολη Ζωγράφου, 15780 Ζωγράφου, Αθήνα</w:t>
      </w:r>
    </w:p>
    <w:p>
      <w:pPr>
        <w:spacing w:before="240" w:after="240"/>
        <w:rPr>
          <w:lang w:val="el" w:eastAsia="el"/>
        </w:rPr>
      </w:pPr>
      <w:r>
        <w:rPr>
          <w:b/>
          <w:bCs/>
          <w:lang w:val="el" w:eastAsia="el"/>
        </w:rPr>
        <w:t>2. Ε.Μ.Π.-Σχολή Ηλεκτρολόγων Μηχανικών &amp; Μηχανικών Υπολογιστών – Τομέας Συστημάτων Μετάδοσης Πληροφορίας &amp; Τεχνολογίας Υλικών – Εργαστήριο Ασυρμάτων Ζεύξεων και Ηλεκτρομαγνητικής Συμβατότητας, Ηρώων Πολυτεχνείου 9, Πολυτεχνειούπολη Ζωγράφου, 15773 Ζωγράφου, Αθήνα</w:t>
      </w:r>
    </w:p>
    <w:p>
      <w:pPr>
        <w:spacing w:before="240" w:after="240"/>
        <w:rPr>
          <w:lang w:val="el" w:eastAsia="el"/>
        </w:rPr>
      </w:pPr>
      <w:r>
        <w:rPr>
          <w:b/>
          <w:bCs/>
          <w:lang w:val="el" w:eastAsia="el"/>
        </w:rPr>
        <w:t>3. Υπουργείο Οικονομικών</w:t>
      </w:r>
    </w:p>
    <w:p>
      <w:pPr>
        <w:pStyle w:val="StructureList1"/>
        <w:spacing w:before="120" w:after="0"/>
        <w:rPr>
          <w:lang w:val="el" w:eastAsia="el"/>
        </w:rPr>
      </w:pPr>
      <w:r>
        <w:rPr>
          <w:b/>
          <w:bCs/>
          <w:lang w:val="el" w:eastAsia="el"/>
        </w:rPr>
        <w:t>α)</w:t>
      </w:r>
      <w:r>
        <w:rPr>
          <w:b/>
          <w:bCs/>
          <w:lang w:val="en" w:eastAsia="en"/>
        </w:rPr>
        <w:tab/>
      </w:r>
      <w:r>
        <w:rPr>
          <w:b/>
          <w:bCs/>
          <w:lang w:val="el" w:eastAsia="el"/>
        </w:rPr>
        <w:t>Γραφείο Υπουργού</w:t>
      </w:r>
    </w:p>
    <w:p>
      <w:pPr>
        <w:pStyle w:val="StructureList1"/>
        <w:spacing w:before="120" w:after="0"/>
        <w:rPr>
          <w:lang w:val="el" w:eastAsia="el"/>
        </w:rPr>
      </w:pPr>
      <w:r>
        <w:rPr>
          <w:b/>
          <w:bCs/>
          <w:lang w:val="el" w:eastAsia="el"/>
        </w:rPr>
        <w:t>β)</w:t>
      </w:r>
      <w:r>
        <w:rPr>
          <w:b/>
          <w:bCs/>
          <w:lang w:val="en" w:eastAsia="en"/>
        </w:rPr>
        <w:tab/>
      </w:r>
      <w:r>
        <w:rPr>
          <w:b/>
          <w:bCs/>
          <w:lang w:val="el" w:eastAsia="el"/>
        </w:rPr>
        <w:t>Γραφείο Υφυπουργού</w:t>
      </w:r>
    </w:p>
    <w:p>
      <w:pPr>
        <w:pStyle w:val="StructureList1"/>
        <w:spacing w:before="120" w:after="0"/>
        <w:rPr>
          <w:lang w:val="el" w:eastAsia="el"/>
        </w:rPr>
      </w:pPr>
      <w:r>
        <w:rPr>
          <w:b/>
          <w:bCs/>
          <w:lang w:val="el" w:eastAsia="el"/>
        </w:rPr>
        <w:t>γ)</w:t>
      </w:r>
      <w:r>
        <w:rPr>
          <w:b/>
          <w:bCs/>
          <w:lang w:val="en" w:eastAsia="en"/>
        </w:rPr>
        <w:tab/>
      </w:r>
      <w:r>
        <w:rPr>
          <w:b/>
          <w:bCs/>
          <w:lang w:val="el" w:eastAsia="el"/>
        </w:rPr>
        <w:t>Γραφείο Ειδικού Γραμματέα Σ.Δ.Ο.Ε.</w:t>
      </w:r>
    </w:p>
    <w:p>
      <w:pPr>
        <w:pStyle w:val="StructureList1"/>
        <w:spacing w:before="120" w:after="0"/>
        <w:rPr>
          <w:lang w:val="el" w:eastAsia="el"/>
        </w:rPr>
      </w:pPr>
      <w:r>
        <w:rPr>
          <w:b/>
          <w:bCs/>
          <w:lang w:val="el" w:eastAsia="el"/>
        </w:rPr>
        <w:t>δ)</w:t>
      </w:r>
      <w:r>
        <w:rPr>
          <w:b/>
          <w:bCs/>
          <w:lang w:val="en" w:eastAsia="en"/>
        </w:rPr>
        <w:tab/>
      </w:r>
      <w:r>
        <w:rPr>
          <w:b/>
          <w:bCs/>
          <w:lang w:val="el" w:eastAsia="el"/>
        </w:rPr>
        <w:t>Κεντρική Υπηρεσία Σ.Δ.Ο.Ε. και Περιφερειακές Δ/νσεις.</w:t>
      </w:r>
    </w:p>
    <w:p>
      <w:pPr>
        <w:spacing w:before="240" w:after="240"/>
        <w:rPr>
          <w:lang w:val="el" w:eastAsia="el"/>
        </w:rPr>
      </w:pPr>
      <w:r>
        <w:rPr>
          <w:b/>
          <w:bCs/>
          <w:lang w:val="el" w:eastAsia="el"/>
        </w:rPr>
        <w:t>4. Ανεξάρτητη Αρχή Δημοσίων Εσόδων</w:t>
      </w:r>
    </w:p>
    <w:p>
      <w:pPr>
        <w:pStyle w:val="StructureList1"/>
        <w:spacing w:before="120" w:after="0"/>
        <w:rPr>
          <w:lang w:val="el" w:eastAsia="el"/>
        </w:rPr>
      </w:pPr>
      <w:r>
        <w:rPr>
          <w:b/>
          <w:bCs/>
          <w:lang w:val="el" w:eastAsia="el"/>
        </w:rPr>
        <w:t>α)</w:t>
      </w:r>
      <w:r>
        <w:rPr>
          <w:b/>
          <w:bCs/>
          <w:lang w:val="en" w:eastAsia="en"/>
        </w:rPr>
        <w:tab/>
      </w:r>
      <w:r>
        <w:rPr>
          <w:b/>
          <w:bCs/>
          <w:lang w:val="el" w:eastAsia="el"/>
        </w:rPr>
        <w:t>Φορολογικές Περιφέρειες: Αθηνών, Πειραιώς, Θεσσαλονίκης, Πατρών</w:t>
      </w:r>
    </w:p>
    <w:p>
      <w:pPr>
        <w:pStyle w:val="StructureList1"/>
        <w:spacing w:before="120" w:after="0"/>
        <w:rPr>
          <w:lang w:val="el" w:eastAsia="el"/>
        </w:rPr>
      </w:pPr>
      <w:r>
        <w:rPr>
          <w:b/>
          <w:bCs/>
          <w:lang w:val="el" w:eastAsia="el"/>
        </w:rPr>
        <w:t>β)</w:t>
      </w:r>
      <w:r>
        <w:rPr>
          <w:b/>
          <w:bCs/>
          <w:lang w:val="en" w:eastAsia="en"/>
        </w:rPr>
        <w:tab/>
      </w:r>
      <w:r>
        <w:rPr>
          <w:b/>
          <w:bCs/>
          <w:lang w:val="el" w:eastAsia="el"/>
        </w:rPr>
        <w:t>ΔΙ.Π.Α.Ε.Ε.</w:t>
      </w:r>
    </w:p>
    <w:p>
      <w:pPr>
        <w:pStyle w:val="StructureList1"/>
        <w:spacing w:before="120" w:after="0"/>
        <w:rPr>
          <w:lang w:val="el" w:eastAsia="el"/>
        </w:rPr>
      </w:pPr>
      <w:r>
        <w:rPr>
          <w:b/>
          <w:bCs/>
          <w:lang w:val="el" w:eastAsia="el"/>
        </w:rPr>
        <w:t>γ)</w:t>
      </w:r>
      <w:r>
        <w:rPr>
          <w:b/>
          <w:bCs/>
          <w:lang w:val="en" w:eastAsia="en"/>
        </w:rPr>
        <w:tab/>
      </w:r>
      <w:r>
        <w:rPr>
          <w:b/>
          <w:bCs/>
          <w:lang w:val="el" w:eastAsia="el"/>
        </w:rPr>
        <w:t>Όλες οι Υ.Ε.Δ.Δ.Ε.</w:t>
      </w:r>
    </w:p>
    <w:p>
      <w:pPr>
        <w:pStyle w:val="StructureList1"/>
        <w:spacing w:before="120" w:after="0"/>
        <w:rPr>
          <w:lang w:val="el" w:eastAsia="el"/>
        </w:rPr>
      </w:pPr>
      <w:r>
        <w:rPr>
          <w:b/>
          <w:bCs/>
          <w:lang w:val="el" w:eastAsia="el"/>
        </w:rPr>
        <w:t>δ)</w:t>
      </w:r>
      <w:r>
        <w:rPr>
          <w:b/>
          <w:bCs/>
          <w:lang w:val="en" w:eastAsia="en"/>
        </w:rPr>
        <w:tab/>
      </w:r>
      <w:r>
        <w:rPr>
          <w:b/>
          <w:bCs/>
          <w:lang w:val="el" w:eastAsia="el"/>
        </w:rPr>
        <w:t>Δ.Α.Φ.Ε.</w:t>
      </w:r>
    </w:p>
    <w:p>
      <w:pPr>
        <w:pStyle w:val="StructureList1"/>
        <w:spacing w:before="120" w:after="0"/>
        <w:rPr>
          <w:lang w:val="el" w:eastAsia="el"/>
        </w:rPr>
      </w:pPr>
      <w:r>
        <w:rPr>
          <w:b/>
          <w:bCs/>
          <w:lang w:val="el" w:eastAsia="el"/>
        </w:rPr>
        <w:t>ε)</w:t>
      </w:r>
      <w:r>
        <w:rPr>
          <w:b/>
          <w:bCs/>
          <w:lang w:val="en" w:eastAsia="en"/>
        </w:rPr>
        <w:tab/>
      </w:r>
      <w:r>
        <w:rPr>
          <w:b/>
          <w:bCs/>
          <w:lang w:val="el" w:eastAsia="el"/>
        </w:rPr>
        <w:t>Όλες οι Δ.Ο.Υ.</w:t>
      </w:r>
    </w:p>
    <w:p>
      <w:pPr>
        <w:spacing w:before="240" w:after="240"/>
        <w:rPr>
          <w:lang w:val="el" w:eastAsia="el"/>
        </w:rPr>
      </w:pPr>
      <w:r>
        <w:rPr>
          <w:b/>
          <w:bCs/>
          <w:lang w:val="el" w:eastAsia="el"/>
        </w:rPr>
        <w:t xml:space="preserve">ΙΙΙ. </w:t>
      </w:r>
      <w:r>
        <w:rPr>
          <w:b/>
          <w:bCs/>
          <w:u w:val="single"/>
          <w:lang w:val="el" w:eastAsia="el"/>
        </w:rPr>
        <w:t>ΕΣΩΤΕΡΙΚΗ ΔΙΑΝΟΜΗ</w:t>
      </w:r>
    </w:p>
    <w:p>
      <w:pPr>
        <w:spacing w:before="240" w:after="240"/>
        <w:rPr>
          <w:lang w:val="el" w:eastAsia="el"/>
        </w:rPr>
      </w:pPr>
      <w:r>
        <w:rPr>
          <w:b/>
          <w:bCs/>
          <w:lang w:val="el" w:eastAsia="el"/>
        </w:rPr>
        <w:t>1. Γραφείο κου Διοικητή της Α.Α.Δ.Ε.</w:t>
      </w:r>
    </w:p>
    <w:p>
      <w:pPr>
        <w:spacing w:before="240" w:after="240"/>
        <w:rPr>
          <w:lang w:val="el" w:eastAsia="el"/>
        </w:rPr>
      </w:pPr>
      <w:r>
        <w:rPr>
          <w:b/>
          <w:bCs/>
          <w:lang w:val="el" w:eastAsia="el"/>
        </w:rPr>
        <w:t>2. Προϊσταμένους των Γενικών Διευθύνσεων της Α.Α.Δ.Ε.</w:t>
      </w:r>
    </w:p>
    <w:p>
      <w:pPr>
        <w:spacing w:before="240" w:after="240"/>
        <w:rPr>
          <w:lang w:val="el" w:eastAsia="el"/>
        </w:rPr>
      </w:pPr>
      <w:r>
        <w:rPr>
          <w:b/>
          <w:bCs/>
          <w:lang w:val="el" w:eastAsia="el"/>
        </w:rPr>
        <w:t>3. Διευθύνσεις της Γενικής Διεύθυνσης Φορολογικής Διοίκησης</w:t>
      </w:r>
    </w:p>
    <w:p>
      <w:pPr>
        <w:spacing w:before="240" w:after="240"/>
        <w:rPr>
          <w:lang w:val="el" w:eastAsia="el"/>
        </w:rPr>
      </w:pPr>
      <w:r>
        <w:rPr>
          <w:b/>
          <w:bCs/>
          <w:lang w:val="el" w:eastAsia="el"/>
        </w:rPr>
        <w:t>4. Διεύθυνση Διαχείρισης Υποδομών</w:t>
      </w:r>
    </w:p>
    <w:p>
      <w:pPr>
        <w:spacing w:before="240" w:after="240"/>
        <w:rPr>
          <w:lang w:val="el" w:eastAsia="el"/>
        </w:rPr>
      </w:pPr>
      <w:r>
        <w:rPr>
          <w:b/>
          <w:bCs/>
          <w:lang w:val="el" w:eastAsia="el"/>
        </w:rPr>
        <w:t>5. Αυτοτελές Tμήμα Ασφάλειας Γ.Δ.ΗΛΕ.Δ.</w:t>
      </w:r>
    </w:p>
    <w:p>
      <w:pPr>
        <w:spacing w:before="240" w:after="240"/>
        <w:rPr>
          <w:lang w:val="el" w:eastAsia="el"/>
        </w:rPr>
      </w:pPr>
      <w:r>
        <w:rPr>
          <w:b/>
          <w:bCs/>
          <w:lang w:val="el" w:eastAsia="el"/>
        </w:rPr>
        <w:t>6. Διεύθυνση Νομικής Υποστήριξης</w:t>
      </w:r>
    </w:p>
    <w:p>
      <w:pPr>
        <w:spacing w:before="240" w:after="240"/>
        <w:rPr>
          <w:lang w:val="el" w:eastAsia="el"/>
        </w:rPr>
      </w:pPr>
      <w:r>
        <w:rPr>
          <w:b/>
          <w:bCs/>
          <w:lang w:val="el" w:eastAsia="el"/>
        </w:rPr>
        <w:t>7. Αυτοτελές Τμήμα Συντονισμού, Μεταρρυθμιστικών Δράσεων και Επικοινωνίας (Α.Τ.Σ.ΜΕ.Δ.Ε.)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