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ΥΦΥΠOΥΡΓΟΥ</w:t>
      </w:r>
    </w:p>
    <w:p>
      <w:pPr>
        <w:pStyle w:val="PreambelText"/>
        <w:spacing w:before="240" w:after="240"/>
        <w:rPr>
          <w:lang w:val="el" w:eastAsia="el"/>
        </w:rPr>
      </w:pPr>
      <w:r>
        <w:rPr>
          <w:b/>
          <w:bCs/>
          <w:lang w:val="el" w:eastAsia="el"/>
        </w:rPr>
        <w:t>Α.ΓΕΝΙΚΗ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 ΤΜΗΜΑ Α΄</w:t>
      </w:r>
    </w:p>
    <w:p>
      <w:pPr>
        <w:pStyle w:val="PreambelText"/>
        <w:spacing w:before="240" w:after="240"/>
        <w:rPr>
          <w:lang w:val="el" w:eastAsia="el"/>
        </w:rPr>
      </w:pPr>
      <w:r>
        <w:rPr>
          <w:b/>
          <w:bCs/>
          <w:lang w:val="el" w:eastAsia="el"/>
        </w:rPr>
        <w:t>Τηλέφωνο: 2103636059, 2103375433</w:t>
      </w:r>
    </w:p>
    <w:p>
      <w:pPr>
        <w:pStyle w:val="PreambelText"/>
        <w:spacing w:before="240" w:after="240"/>
        <w:rPr>
          <w:lang w:val="el" w:eastAsia="el"/>
        </w:rPr>
      </w:pPr>
      <w:r>
        <w:rPr>
          <w:b/>
          <w:bCs/>
          <w:lang w:val="el" w:eastAsia="el"/>
        </w:rPr>
        <w:t>Β.ΓΕΝΙΚΗ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 ΤΜΗΜΑΤΑ Β΄, Δ΄</w:t>
      </w:r>
    </w:p>
    <w:p>
      <w:pPr>
        <w:pStyle w:val="PreambelText"/>
        <w:spacing w:before="240" w:after="240"/>
        <w:rPr>
          <w:lang w:val="el" w:eastAsia="el"/>
        </w:rPr>
      </w:pPr>
      <w:r>
        <w:rPr>
          <w:b/>
          <w:bCs/>
          <w:lang w:val="el" w:eastAsia="el"/>
        </w:rPr>
        <w:t>Τηλέφωνο: 2104802203</w:t>
      </w:r>
    </w:p>
    <w:p>
      <w:pPr>
        <w:pStyle w:val="PreambelText"/>
        <w:spacing w:before="240" w:after="240"/>
        <w:rPr>
          <w:lang w:val="el" w:eastAsia="el"/>
        </w:rPr>
      </w:pPr>
      <w:r>
        <w:rPr>
          <w:b/>
          <w:bCs/>
          <w:lang w:val="el" w:eastAsia="el"/>
        </w:rPr>
        <w:t>2)ΔΙΕΥΘΥΝΣΗ ΑΝΑΠΤΥΞΗΣ ΦΟΡΟΛΟΓΙΚΩΝ 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3) </w:t>
      </w:r>
      <w:r>
        <w:rPr>
          <w:b/>
          <w:bCs/>
          <w:lang w:val="el" w:eastAsia="el"/>
        </w:rPr>
        <w:t>ΔΙΕΥΘΥΝΣΗ ΥΠΗΡΕΣΙΩΝ ΔΕΔΟΜΕΝΩΝ 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ΘΕΜΑ: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w:t>
      </w:r>
    </w:p>
    <w:p>
      <w:pPr>
        <w:spacing w:before="240" w:after="240"/>
        <w:rPr>
          <w:lang w:val="el" w:eastAsia="el"/>
        </w:rPr>
      </w:pPr>
      <w:r>
        <w:rPr>
          <w:b/>
          <w:bCs/>
          <w:lang w:val="el" w:eastAsia="el"/>
        </w:rPr>
        <w:t>ΑΠΟΦΑΣΗΟ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(Α΄ 76).</w:t>
      </w:r>
    </w:p>
    <w:p>
      <w:pPr>
        <w:spacing w:before="240" w:after="240"/>
        <w:rPr>
          <w:lang w:val="el" w:eastAsia="el"/>
        </w:rPr>
      </w:pPr>
      <w:r>
        <w:rPr>
          <w:lang w:val="el" w:eastAsia="el"/>
        </w:rPr>
        <w:t>2. Τις διατάξεις του άρθρου 38 του ν. 4753/2020 «Λήψη συμπληρωματικών μέτρων για την εφαρμογή του Κανονισμού (ΕΕ) 2019/1150 του Ευρωπαϊκού Κοινοβουλίου και του Συμβουλίου της 20ης Ιουνίου 2019 για την προώθηση της δίκαιης μεταχείρισης και της διαφάνειας για τους επιχειρηματικούς χρήστες επιγραμμικών υπηρεσιών διαμεσολάβησης (L 186), ρυθμίσεις για τη Διυπηρεσιακή Μονάδα Ελέγχου Αγοράς, την Επιτροπή Ανταγωνισμού, τη λειτουργία της αγοράς και λοιπές διατάξεις» (Α΄227).</w:t>
      </w:r>
    </w:p>
    <w:p>
      <w:pPr>
        <w:spacing w:before="240" w:after="240"/>
        <w:rPr>
          <w:lang w:val="el" w:eastAsia="el"/>
        </w:rPr>
      </w:pPr>
      <w:r>
        <w:rPr>
          <w:lang w:val="el" w:eastAsia="el"/>
        </w:rPr>
        <w:t>3. Τις διατάξεις του ν. 4174/2013 «Φορολογικές διαδικασίες και άλλες διατάξεις» (Α΄ 170 - Κ.Φ.Δ.).</w:t>
      </w:r>
    </w:p>
    <w:p>
      <w:pPr>
        <w:spacing w:before="240" w:after="240"/>
        <w:rPr>
          <w:lang w:val="el" w:eastAsia="el"/>
        </w:rPr>
      </w:pPr>
      <w:r>
        <w:rPr>
          <w:lang w:val="el" w:eastAsia="el"/>
        </w:rPr>
        <w:t>4. Τις διατάξεις του ν.δ. 356/1974 «Περί κώδικος Εισπράξεως Δημοσίων εσόδων» (Α΄ 90 - Κ.Ε.Δ.Ε.).</w:t>
      </w:r>
    </w:p>
    <w:p>
      <w:pPr>
        <w:spacing w:before="240" w:after="240"/>
        <w:rPr>
          <w:lang w:val="el" w:eastAsia="el"/>
        </w:rPr>
      </w:pPr>
      <w:r>
        <w:rPr>
          <w:lang w:val="el" w:eastAsia="el"/>
        </w:rPr>
        <w:t>5. Το π.δ. 142/2017 «Οργανισμός Υπουργείου Οικονομικών» (Α΄ 181).</w:t>
      </w:r>
    </w:p>
    <w:p>
      <w:pPr>
        <w:spacing w:before="240" w:after="240"/>
        <w:rPr>
          <w:lang w:val="el" w:eastAsia="el"/>
        </w:rPr>
      </w:pPr>
      <w:r>
        <w:rPr>
          <w:lang w:val="el" w:eastAsia="el"/>
        </w:rPr>
        <w:t>6.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spacing w:before="240" w:after="240"/>
        <w:rPr>
          <w:lang w:val="el" w:eastAsia="el"/>
        </w:rPr>
      </w:pPr>
      <w:r>
        <w:rPr>
          <w:lang w:val="el" w:eastAsia="el"/>
        </w:rPr>
        <w:t>7. 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 όπως ισχύει.</w:t>
      </w:r>
    </w:p>
    <w:p>
      <w:pPr>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10.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11.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όπως ισχύουν, ιδίως το άρθρο 41.</w:t>
      </w:r>
    </w:p>
    <w:p>
      <w:pPr>
        <w:spacing w:before="240" w:after="240"/>
        <w:rPr>
          <w:lang w:val="el" w:eastAsia="el"/>
        </w:rPr>
      </w:pPr>
      <w:r>
        <w:rPr>
          <w:lang w:val="el" w:eastAsia="el"/>
        </w:rPr>
        <w:t>12. Τις διατάξεις της υποπαρ. Ε2 της παρ. Ε’ του άρθρου πρώτου του ν. 4093/2012 (Α΄222), όπως ισχύει, περί σύστασης θέσης Γενικού Γραμματέα Δημοσίων Εσόδων, σε συνδυασμό με τις διατάξεις της παρ. 1 του άρθρου 13 και της παρ. 10 του άρθρου 41 του ν. 4389/2016, όπως ισχύουν.</w:t>
      </w:r>
    </w:p>
    <w:p>
      <w:pPr>
        <w:spacing w:before="240" w:after="240"/>
        <w:rPr>
          <w:lang w:val="el" w:eastAsia="el"/>
        </w:rPr>
      </w:pPr>
      <w:r>
        <w:rPr>
          <w:lang w:val="el" w:eastAsia="el"/>
        </w:rPr>
        <w:t>13. Την υπ’ αρ. 1/20-1-2016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14. Την υπό στοιχεία Α. 1254/2020 απόφαση του Υφυπουργού Οικονομικών «Καθορισμός των λεπτομερειών εφαρμογής του άρθρου 2 της από 11-3-2020 Πράξης Νομοθετικού Περιεχομένου (Α΄ 55), όπως τροποποιήθηκε και ισχύει, η οποία κυρώθηκε με το άρθρο 2 του ν. 4682/2020 (Α΄ 76) με την οποία λαμβάνονται κατεπείγοντα μέτρα αντιμετώπισης των αρνητικών συνεπειών της εμφάνισης του κορωνοϊού COVID-19 και της ανάγκης περιορισμού της διάδοσής του» (Β΄5223).</w:t>
      </w:r>
    </w:p>
    <w:p>
      <w:pPr>
        <w:spacing w:before="240" w:after="240"/>
        <w:rPr>
          <w:lang w:val="el" w:eastAsia="el"/>
        </w:rPr>
      </w:pPr>
      <w:r>
        <w:rPr>
          <w:lang w:val="el" w:eastAsia="el"/>
        </w:rPr>
        <w:t>15. Την υπό στοιχεία Α. 1280/2020 απόφαση του Υφυπουργού Οικονομικών «Καθορισμός των λεπτομερειών εφαρμογής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(Β΄5639).</w:t>
      </w:r>
    </w:p>
    <w:p>
      <w:pPr>
        <w:spacing w:before="240" w:after="240"/>
        <w:rPr>
          <w:lang w:val="el" w:eastAsia="el"/>
        </w:rPr>
      </w:pPr>
      <w:r>
        <w:rPr>
          <w:lang w:val="el" w:eastAsia="el"/>
        </w:rPr>
        <w:t>16. Την υπό στοιχεία Α. 1015/2021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(Β΄246).</w:t>
      </w:r>
    </w:p>
    <w:p>
      <w:pPr>
        <w:spacing w:before="240" w:after="240"/>
        <w:rPr>
          <w:lang w:val="el" w:eastAsia="el"/>
        </w:rPr>
      </w:pPr>
      <w:r>
        <w:rPr>
          <w:lang w:val="el" w:eastAsia="el"/>
        </w:rPr>
        <w:t>17. Την υπό στοιχεία Α. 1029/2021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(Α΄55), όπως τροποποιήθηκε και ισχύει, η οποία κυρώθηκε με το άρθρο 2 του ν.4682/2020 (Α΄76)» (Β΄617).</w:t>
      </w:r>
    </w:p>
    <w:p>
      <w:pPr>
        <w:spacing w:before="240" w:after="240"/>
        <w:rPr>
          <w:lang w:val="el" w:eastAsia="el"/>
        </w:rPr>
      </w:pPr>
      <w:r>
        <w:rPr>
          <w:lang w:val="el" w:eastAsia="el"/>
        </w:rPr>
        <w:t>18. Την ανάγκη καθορισμού ειδικότερων θεμάτων και λεπτομερειών για την εφαρμογή των διατάξεων του άρθρου 2 της από 11-3-2020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w:t>
      </w:r>
    </w:p>
    <w:p>
      <w:pPr>
        <w:spacing w:before="240" w:after="240"/>
        <w:rPr>
          <w:lang w:val="el" w:eastAsia="el"/>
        </w:rPr>
      </w:pPr>
      <w:r>
        <w:rPr>
          <w:lang w:val="el" w:eastAsia="el"/>
        </w:rPr>
        <w:t>19. Την εισήγηση του Διοικητή της Ανεξάρτητης Αρχής Δημοσίων Εσόδων (Α.Α.Δ.Ε.).</w:t>
      </w:r>
    </w:p>
    <w:p>
      <w:pPr>
        <w:spacing w:before="240" w:after="240"/>
        <w:rPr>
          <w:lang w:val="el" w:eastAsia="el"/>
        </w:rPr>
      </w:pPr>
      <w:r>
        <w:rPr>
          <w:lang w:val="el" w:eastAsia="el"/>
        </w:rPr>
        <w:t>20.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Παρατείνεται η προθεσμία καταβολής της δόσης Μαρτίου 2021 ρυθμίσεων και διευκολύνσεων τμηματικής καταβολής βεβαιωμένων οφειλών στις Δ.Ο.Υ./Ελεγκτικά Κέντρα για τις επιχειρήσεις που έχουν ενεργό, κύριο κωδικό δραστηριότητας στις 20-32020 από τους αναγραφόμενους στο συνημμένο πίνακα, ο οποίος και αποτελεί αναπόσπαστο μέρος της παρούσας, ή ακαθάριστα έσοδα ενεργού κατά την 20-3-2020 ΚΑΔ δευτερεύουσας δραστηριότητας από τους αναγραφόμενους στο συνημμένο πίνακα, όπως αυτά προκύπτουν από την αρχική δήλωση φόρου εισοδήματος φορολογικού έτους 2018, τα οποία είναι μεγαλύτερα από τα ακαθάριστα έσοδα που αντιστοιχούν στον κύριο ΚΑΔ στις 20-3-2020.</w:t>
      </w:r>
    </w:p>
    <w:p>
      <w:pPr>
        <w:spacing w:before="240" w:after="240"/>
        <w:rPr>
          <w:lang w:val="el" w:eastAsia="el"/>
        </w:rPr>
      </w:pPr>
      <w:r>
        <w:rPr>
          <w:lang w:val="el" w:eastAsia="el"/>
        </w:rPr>
        <w:t>Η εν λόγω δόση Μαρτίου καταβάλλεται την τελευταία εργάσιμη ημέρα του επόμενου μήνα της τελευταίας δόσης του προγράμματος της υφιστάμενης ρύθμισης τμηματικής καταβολής, όπως αυτό έχει τυχόν διαμορφωθεί, σύμφωνα με τις διατάξεις του άρθρου 290 ν. 4738/2020 (Α’ 207) και των υπό στοιχεία Α. 1254/2020 (Β΄5223), Α. 1280 (Β΄5639), Α. 1015/2021 (Β΄246) και Α. 1029/2021 (Β΄617) Αποφάσεων του Υφυπουργού Οικονομικών.</w:t>
      </w:r>
    </w:p>
    <w:p>
      <w:pPr>
        <w:spacing w:before="240" w:after="240"/>
        <w:rPr>
          <w:lang w:val="el" w:eastAsia="el"/>
        </w:rPr>
      </w:pPr>
      <w:r>
        <w:rPr>
          <w:lang w:val="el" w:eastAsia="el"/>
        </w:rPr>
        <w:t>2. Από την εφαρμογή της παρούσας απόφασης εξαιρούνται: α) οι φορείς της Γενικής Κυβέρνησης, όπως ορίζονται στην παρ. 1 του άρθρου 14 ν. 4270/2014, β) τα εκτός αυτής νομικά πρόσωπα δημοσίου δικαίου (Ν.Π.Δ.Δ.), γ) τα Νομικά Πρόσωπα Ιδιωτικού Δικαίου (Ν.Π.Ι.Δ.) που ανήκουν στο κράτος, ή σε Ν.Π.Δ.Δ. ή Ο.Τ.Α. –κατά την έννοια της επίτευξης κρατικού ή δημοσίου ή αυτοδιοικητικού σκοπού, εποπτείας, διορισμού και ελέγχου της πλειοψηφίας της Διοίκησής τους-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 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Ο ΥΦΥΠΟΥΡΓΟΣ ΟΙΚΟΝΟΜΙΚΩΝΑΠΟΣΤΟΛΟΣ ΒΕΣΥΡΟΠΟΥΛΟΣ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b/>
          <w:bCs/>
          <w:lang w:val="el" w:eastAsia="el"/>
        </w:rPr>
        <w:t>ΠΙΝΑΚΑΣ ΚΩΔΙΚΩΝ ΑΡΙΘΜΩΝ ΔΡΑΣΤΗΡΙΟΤΗΤΑΣ</w:t>
      </w:r>
    </w:p>
    <w:p>
      <w:pPr>
        <w:spacing w:before="240" w:after="240"/>
        <w:rPr>
          <w:lang w:val="el" w:eastAsia="el"/>
        </w:rPr>
      </w:pPr>
      <w:r>
        <w:rPr>
          <w:lang w:val="el" w:eastAsia="el"/>
        </w:rPr>
        <w:t>Σε περίπτωση τετραψήφιων ΚΑΔ συμπεριλαμβάνονται όλες οι υποκατηγορίες πενταψήφιων, εξαψήφιων και οκταψήφιων. Σε περίπτωση πενταψήφιων συμπεριλαμβάνονται όλες οι υποκατηγορίες εξαψήφιων και οκταψήφιων. Σε περίπτωση εξαψήφιων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01.49.19.0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46.42.11.2</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46.42.11.4</w:t>
            </w:r>
          </w:p>
          <w:p>
            <w:pPr>
              <w:spacing w:before="240"/>
              <w:rPr>
                <w:b w:val="0"/>
                <w:bCs w:val="0"/>
                <w:i w:val="0"/>
                <w:iCs w:val="0"/>
                <w:smallCaps w:val="0"/>
                <w:color w:val="000000"/>
                <w:lang w:val="el" w:eastAsia="el"/>
              </w:rPr>
            </w:pPr>
            <w:r>
              <w:rPr>
                <w:b w:val="0"/>
                <w:bCs w:val="0"/>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46.42.11.2</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46.42.11.5</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46.90.10.0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 με εξαίρεση το λιανικό εμπόριο βυσμάτων, πριζών και άλλων συσκευών για τη διακοπή ή την προστασία ηλεκτρικών κυκλωμάτων που δεν καταχωρούνται αλλού [π.δ.κ.α.] (ΚΑΔ 47.54.54.07) και το λιανικό εμπόριο ηλεκτρικών θερμαντικών αντιστάσεων (ΚΑΔ 47.54.54.12)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του λιανικού εμπορίου άλλων ηλεκτρικών λαμπτήρων και φωτιστικών εξαρτημάτων (ΚΑΔ 47.59.56.01) και του λιανικού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εμπορίου λαμπτήρων πυράκτωσης π.δ.κ.α. (ΚΑΔ 47.59.56.07)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 εξαιρουμένου του λιανικού εμπορίου μελανιών, με αναγόμωση φυσιγγίων (cartridges) εκτυπωτών (ΚΑΔ 47.62.63.18)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52.21.29.0</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59.13.11.0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61.90.10.0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 με εξαίρεση τις υπηρεσίες ενοικίασης ποδηλάτων (ΚΑΔ 77.21.10.08) και τις υπηρεσίες μίσθωσης αθλητικού εξοπλισμού (μπαστουνιών γκολφ, ρακετών κ.λπ.) (ΚΑΔ 77.21.10.09)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77.39.19.0</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τις υπηρεσίες ημερήσιας φροντίδας για παιδιά και νέους με αναπηρία (ΚΑΔ 88.91.12) και τις υπηρεσίες φύλαξης μικρών παιδιών (ΚΑΔ 88.91.13)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90.03.11.0</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90.03.11.0</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90.03.11.1</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96.09.19.0</w:t>
            </w:r>
          </w:p>
          <w:p>
            <w:pPr>
              <w:spacing w:before="240"/>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96.09.19.1</w:t>
            </w:r>
          </w:p>
          <w:p>
            <w:pPr>
              <w:spacing w:before="240"/>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