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Παράταση της προθεσμίας των προβλεπόμενων υποχρεώσεων των επιχειρήσεων α) κατόχων άδειας εμφιάλωσης υγραερίων, β) διανομής εμφιαλωμένου υγραερίου και γ) παραληπτών/τελικών καταναλωτών χύδην υγραερίου κατ’ εφαρμογή των άρθρων 3, 4, 5 και 9 της υπό στοιχεία Α.1001/31-12-2020 (B΄ 40/2021) απόφασης Διοικητή ΑΑΔΕ.</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περ. ιδ΄ και ιε΄ της παρ. 1, του άρθρου 73 του ν.2960/2001(A΄ 265) «Εθνικός Τελωνειακός Κώδικας», όπως ισχύουν καθώς και της παρ. 7 του άρθρου 73 του ιδίου νόμου,</w:t>
      </w:r>
    </w:p>
    <w:p>
      <w:pPr>
        <w:pStyle w:val="StructureList1"/>
        <w:spacing w:before="120" w:after="0"/>
        <w:rPr>
          <w:lang w:val="el" w:eastAsia="el"/>
        </w:rPr>
      </w:pPr>
      <w:r>
        <w:rPr>
          <w:lang w:val="el" w:eastAsia="el"/>
        </w:rPr>
        <w:t>β)</w:t>
      </w:r>
      <w:r>
        <w:rPr>
          <w:lang w:val="en" w:eastAsia="en"/>
        </w:rPr>
        <w:tab/>
      </w:r>
      <w:r>
        <w:rPr>
          <w:lang w:val="el" w:eastAsia="el"/>
        </w:rPr>
        <w:t>των παρ. 1 και 2 των άρθρων 3, 4 και 5 καθώς και των παρ. 3, 4 και 5 του άρθρου 9 της υπό στοιχεία Α.1001/31-12-2020 (Β’40/2021) απόφασης Διοικητή Α.Α.Δ.Ε. «Όροι και προϋποθέσεις για τη διαδικασία παραλαβής και παράδοσης των υγραερίων και του μεθανίου των περ. ιδ΄και ιε΄ της παρ. 1 του άρθρου 73 του ν. 2960/2001 καθώς και διαδικασία παρακολούθησης και ελέγχου της νόμιμης χρησιμοποίησης αυτών»,</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της υπό στοιχεία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υποπερ. α΄ της παρ. 3 του άρθρου 41 του ν. 4389/2016,</w:t>
      </w:r>
    </w:p>
    <w:p>
      <w:pPr>
        <w:pStyle w:val="StructureList1"/>
        <w:spacing w:before="120" w:after="0"/>
        <w:rPr>
          <w:lang w:val="el" w:eastAsia="el"/>
        </w:rPr>
      </w:pPr>
      <w:r>
        <w:rPr>
          <w:lang w:val="el" w:eastAsia="el"/>
        </w:rPr>
        <w:t>ε)</w:t>
      </w:r>
      <w:r>
        <w:rPr>
          <w:lang w:val="en" w:eastAsia="en"/>
        </w:rPr>
        <w:tab/>
      </w:r>
      <w:r>
        <w:rPr>
          <w:lang w:val="el" w:eastAsia="el"/>
        </w:rPr>
        <w:t>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της υπό στοιχεία 5294 ΕΞ2020/17-1-2020 απόφασης του Υπουργού Οικονομικών «Ανανέωση της θητείας του Διοικητή της Ανεξάρτητης Αρχής Δημοσίων Εσόδων» (Υ.Ο.Δ.Δ.27),</w:t>
      </w:r>
    </w:p>
    <w:p>
      <w:pPr>
        <w:pStyle w:val="StructureList1"/>
        <w:spacing w:before="120" w:after="0"/>
        <w:rPr>
          <w:lang w:val="el" w:eastAsia="el"/>
        </w:rPr>
      </w:pPr>
      <w:r>
        <w:rPr>
          <w:lang w:val="el" w:eastAsia="el"/>
        </w:rPr>
        <w:t>στ)</w:t>
      </w:r>
      <w:r>
        <w:rPr>
          <w:lang w:val="en" w:eastAsia="en"/>
        </w:rPr>
        <w:tab/>
      </w:r>
      <w:r>
        <w:rPr>
          <w:lang w:val="el" w:eastAsia="el"/>
        </w:rPr>
        <w:t>του άρθρου 90 του π.δ. 63/2005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ζ)</w:t>
      </w:r>
      <w:r>
        <w:rPr>
          <w:lang w:val="en" w:eastAsia="en"/>
        </w:rPr>
        <w:tab/>
      </w:r>
      <w:r>
        <w:rPr>
          <w:lang w:val="el" w:eastAsia="el"/>
        </w:rPr>
        <w:t>της υπό στοιχεία Δ ΟΡΓ.Α 1125859 ΕΞ2020/23-10-2020 απόφασης του Διοικητή της Ανεξάρτητης Αρχής Δημοσίων Εσόδων (Β΄4738) «Οργανισμός της Ανεξάρτητης Αρχής Δημοσίων Εσόδων».</w:t>
      </w:r>
    </w:p>
    <w:p>
      <w:pPr>
        <w:pStyle w:val="PreambelText"/>
        <w:spacing w:before="240" w:after="240"/>
        <w:rPr>
          <w:lang w:val="el" w:eastAsia="el"/>
        </w:rPr>
      </w:pPr>
      <w:r>
        <w:rPr>
          <w:lang w:val="el" w:eastAsia="el"/>
        </w:rPr>
        <w:t>2 .Την ανάγκη παράτασης των τιθέμενων στο άρθρο 9 προθεσμιών για την υποβολή από τις επιχειρήσεις κατόχους άδειας εμφιάλωσης υγραερίων, διανομής εμφιαλωμένου υγραερίου και παραλήπτες χύδην υγραερίου των προβλεπόμενων στα άρθρα 3, 4 και 5 της υπό στοιχεία Α.1001/2021 απόφασης Διοικητή ΑΑΔΕ, για τη διευκόλυνση των ανωτέρω επιχειρήσεων λόγω της έκτακτης κατάστασης της χώρας εξαιτίας της πανδημίας του COVID 19.</w:t>
      </w:r>
    </w:p>
    <w:p>
      <w:pPr>
        <w:pStyle w:val="PreambelText"/>
        <w:spacing w:before="240" w:after="240"/>
        <w:rPr>
          <w:lang w:val="el" w:eastAsia="el"/>
        </w:rPr>
      </w:pPr>
      <w:r>
        <w:rPr>
          <w:lang w:val="el" w:eastAsia="el"/>
        </w:rPr>
        <w:t>3 . Το γεγονός ότι από την έκδοση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Οι προθεσμίες των παρ. 3, 4 και 5 του άρθρου 9 της υπό στοιχεία Α. 1001/31-12-2020 (Β΄40/2021) απόφασης Διοικητή Α.Α.Δ.Ε., οι οποίες αφορούν: α) την υποβολή των προβλεπόμενων στοιχείων της παρ. 1 του άρθρου 3, της παρ.1 του άρθρου 4 και της παρ.1 του άρθρου 5, από τις επιχειρήσεις κατόχους άδειας εμφιάλωσης υγραερίων, κατόχους άδειας διανομής εμφιαλωμένου υγραερίου καθώς και από τις επιχειρήσεις που παραλαμβάνουν ως τελικοί καταναλωτές χύδην υγραέριο και β) την τήρηση του βιβλίου αποθήκης της παρ. 2 του άρθρου 3, της παρ.2 του άρθρου 4 και της παρ.2 του άρθρου 5 της ως άνω απόφασης, παρατείνονται έως και την 30/06/2021.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ΔΙ.Σ.ΤΕ.ΠΛ.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Αποδέκτες πίνακα Δ΄ εκτός ΔΙΕΥΘΥΝΣΗ ΔΙΑΧΕΙΡΙΣΗΣ ΔΗΜΟΣΙΟΥ ΥΛΙΚΟΥ (ΔΙ.Δ.Δ.Υ.)</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6.</w:t>
      </w:r>
      <w:r>
        <w:rPr>
          <w:lang w:val="el" w:eastAsia="el"/>
        </w:rPr>
        <w:t xml:space="preserve"> Δ/νση Δασμολογικών Θεμάτων, Ειδικών Καθεστώτων &amp; Απαλλαγών</w:t>
      </w:r>
    </w:p>
    <w:p>
      <w:pPr>
        <w:pStyle w:val="MainText"/>
        <w:spacing w:before="120" w:after="0"/>
        <w:rPr>
          <w:lang w:val="el" w:eastAsia="el"/>
        </w:rPr>
      </w:pPr>
      <w:r>
        <w:rPr>
          <w:b/>
          <w:bCs/>
          <w:lang w:val="el" w:eastAsia="el"/>
        </w:rPr>
        <w:t>7.</w:t>
      </w:r>
      <w:r>
        <w:rPr>
          <w:lang w:val="el" w:eastAsia="el"/>
        </w:rPr>
        <w:t xml:space="preserve"> Ε.Υ.Τ.Ε.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