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65ΜΓ46ΜΠ3Ζ-ΜΔΠ</w:t>
      </w:r>
    </w:p>
    <w:p>
      <w:pPr>
        <w:pStyle w:val="Title"/>
        <w:spacing w:before="120" w:after="360"/>
        <w:rPr>
          <w:lang w:val="el" w:eastAsia="el"/>
        </w:rPr>
      </w:pPr>
      <w:r>
        <w:rPr>
          <w:b/>
          <w:bCs/>
          <w:lang w:val="el" w:eastAsia="el"/>
        </w:rPr>
        <w:t>ΦΕΚ: Β’ 1487/13.04.2021</w:t>
      </w:r>
    </w:p>
    <w:p>
      <w:pPr>
        <w:pStyle w:val="Title"/>
        <w:spacing w:before="120" w:after="360"/>
        <w:rPr>
          <w:lang w:val="el" w:eastAsia="el"/>
        </w:rPr>
      </w:pPr>
      <w:r>
        <w:rPr>
          <w:b/>
          <w:bCs/>
          <w:lang w:val="el" w:eastAsia="el"/>
        </w:rPr>
        <w:t>ΦΕΚ:Β’ 1626/21.04.2021</w:t>
      </w:r>
    </w:p>
    <w:p>
      <w:pPr>
        <w:pStyle w:val="PreambelText"/>
        <w:spacing w:before="240" w:after="240"/>
        <w:rPr>
          <w:lang w:val="el" w:eastAsia="el"/>
        </w:rPr>
      </w:pPr>
      <w:r>
        <w:rPr>
          <w:lang w:val="el" w:eastAsia="el"/>
        </w:rPr>
        <w:t>Αθήνα, 7 Απριλίου 2021</w:t>
      </w:r>
    </w:p>
    <w:p>
      <w:pPr>
        <w:pStyle w:val="PreambelText"/>
        <w:spacing w:before="240" w:after="240"/>
        <w:rPr>
          <w:lang w:val="el" w:eastAsia="el"/>
        </w:rPr>
      </w:pPr>
      <w:r>
        <w:rPr>
          <w:lang w:val="el" w:eastAsia="el"/>
        </w:rPr>
        <w:t>Αρ. Πρωτ: Α. 1082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 xml:space="preserve">Ανεξάρτητη Αρχή </w:t>
      </w:r>
      <w:r>
        <w:rPr>
          <w:b/>
          <w:bCs/>
          <w:lang w:val="el" w:eastAsia="el"/>
        </w:rPr>
        <w:t>rd</w:t>
      </w:r>
      <w:r>
        <w:rPr>
          <w:lang w:val="el" w:eastAsia="el"/>
        </w:rPr>
        <w:t>. Δημοοίων^Εσόδων</w:t>
      </w:r>
      <w:r>
        <w:rPr>
          <w:b/>
          <w:bCs/>
          <w:lang w:val="el" w:eastAsia="el"/>
        </w:rPr>
        <w:t>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A.ΔΙΕΥΘΥΝΣΗ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A΄, B΄</w:t>
      </w:r>
    </w:p>
    <w:p>
      <w:pPr>
        <w:pStyle w:val="PreambelText"/>
        <w:spacing w:before="240" w:after="240"/>
        <w:rPr>
          <w:lang w:val="el" w:eastAsia="el"/>
        </w:rPr>
      </w:pPr>
      <w:r>
        <w:rPr>
          <w:lang w:val="el" w:eastAsia="el"/>
        </w:rPr>
        <w:t xml:space="preserve">B.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Γ. 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PreambelText"/>
        <w:spacing w:before="240" w:after="240"/>
        <w:rPr>
          <w:lang w:val="el" w:eastAsia="el"/>
        </w:rPr>
      </w:pPr>
      <w:r>
        <w:rPr>
          <w:b/>
          <w:bCs/>
          <w:lang w:val="el" w:eastAsia="el"/>
        </w:rPr>
        <w:t>ΤΜΗΜΑΤΑ 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3375315-6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3375311-312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d12.b @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ΘΕΜΑ: «Περιπτώσεις έλλειψης υπαιτιότητας για τη μη στοιχειοθέτηση της αλληλέγγυας ευθύνης σύμφωνα με τις διατάξεις του άρθρου 50 του ν. 4174/2013».</w:t>
      </w:r>
    </w:p>
    <w:p>
      <w:pPr>
        <w:pStyle w:val="enacting"/>
        <w:spacing w:before="120" w:after="0"/>
        <w:rPr>
          <w:lang w:val="el" w:eastAsia="el"/>
        </w:rPr>
      </w:pPr>
      <w:r>
        <w:rPr>
          <w:b/>
          <w:bCs/>
          <w:lang w:val="el" w:eastAsia="el"/>
        </w:rPr>
        <w:t>Α Π Ο Φ Α Σ ΗΟ ΥΠΟΥΡΓΟΣ ΟΙΚΟΝΟΜΙΚΩΝ</w:t>
      </w:r>
      <w:r>
        <w:rPr>
          <w:lang w:val="el" w:eastAsia="el"/>
        </w:rPr>
        <w:br/>
      </w:r>
      <w:r>
        <w:rPr>
          <w:b/>
          <w:bCs/>
          <w:lang w:val="el" w:eastAsia="el"/>
        </w:rPr>
        <w:t>ΚΑΙ</w:t>
      </w:r>
    </w:p>
    <w:p>
      <w:pPr>
        <w:pStyle w:val="PreambelText"/>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σε συνδυασμό με την παρ. 22 του άρθρου 119 του ν.4622/2019 (Α’ 133).</w:t>
      </w:r>
    </w:p>
    <w:p>
      <w:pPr>
        <w:pStyle w:val="PreambelText"/>
        <w:spacing w:before="240" w:after="240"/>
        <w:rPr>
          <w:lang w:val="el" w:eastAsia="el"/>
        </w:rPr>
      </w:pPr>
      <w:r>
        <w:rPr>
          <w:lang w:val="el" w:eastAsia="el"/>
        </w:rPr>
        <w:t>2. Το π.δ. 142/2017 «Οργανισμός Υπουργείου Οικονομικών» (Α΄ 181).</w:t>
      </w:r>
    </w:p>
    <w:p>
      <w:pPr>
        <w:pStyle w:val="PreambelText"/>
        <w:spacing w:before="240" w:after="240"/>
        <w:rPr>
          <w:lang w:val="el" w:eastAsia="el"/>
        </w:rPr>
      </w:pPr>
      <w:r>
        <w:rPr>
          <w:lang w:val="el" w:eastAsia="el"/>
        </w:rPr>
        <w:t>3. Το π.δ. 83/2019 «Διορισμός Αντιπροέδρου Κυβέρνησης, Υπουργών, Αναπληρωτών Υπουργών και Υφυπουργών» (Α΄121).</w:t>
      </w:r>
    </w:p>
    <w:p>
      <w:pPr>
        <w:pStyle w:val="PreambelText"/>
        <w:spacing w:before="240" w:after="240"/>
        <w:rPr>
          <w:lang w:val="el" w:eastAsia="el"/>
        </w:rPr>
      </w:pPr>
      <w:r>
        <w:rPr>
          <w:lang w:val="el" w:eastAsia="el"/>
        </w:rPr>
        <w:t>4. Την υπό στοιχεία Υ2/2019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5. Την υπ’ αρ. 339/2019 κοινή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6. Την υπό στοιχεία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pStyle w:val="PreambelText"/>
        <w:spacing w:before="240" w:after="240"/>
        <w:rPr>
          <w:lang w:val="el" w:eastAsia="el"/>
        </w:rPr>
      </w:pPr>
      <w:r>
        <w:rPr>
          <w:lang w:val="el" w:eastAsia="el"/>
        </w:rPr>
        <w:t>7. Την περ. γ΄ της παρ.1 του άρθρου 50 του ν.4174/2013 (Α΄170), όπως ισχύει μετά την τροποποίησή της με την παρ.1 του άρθρου 34 του ν.4646/2019 (Α΄201), σύμφωνα με τις οποίες παρέχεται εξουσιοδότηση στον Υπουργό Οικονομικών και τον Διοικητή της Α.Α.Δ.Ε. να ορίσουν ενδεικτικά περιπτώσεις έλλειψης υπαιτιότητας.</w:t>
      </w:r>
    </w:p>
    <w:p>
      <w:pPr>
        <w:pStyle w:val="PreambelText"/>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PreambelText"/>
        <w:spacing w:before="240" w:after="240"/>
        <w:rPr>
          <w:lang w:val="el" w:eastAsia="el"/>
        </w:rPr>
      </w:pPr>
      <w:r>
        <w:rPr>
          <w:lang w:val="el" w:eastAsia="el"/>
        </w:rPr>
        <w:t>9. Την υπό στοιχεία Δ.ΟΡΓ.Α 1125859 ΕΞ 2020/23.10.2020 απόφαση του Διοικητή της Α.Α.Δ.Ε. με θέμα «Οργανισμός της Ανεξάρτητης Αρχής Δημοσίων Εσόδων» (Β΄ 4738).</w:t>
      </w:r>
    </w:p>
    <w:p>
      <w:pPr>
        <w:pStyle w:val="PreambelText"/>
        <w:spacing w:before="240" w:after="240"/>
        <w:rPr>
          <w:lang w:val="el" w:eastAsia="el"/>
        </w:rPr>
      </w:pPr>
      <w:r>
        <w:rPr>
          <w:lang w:val="el" w:eastAsia="el"/>
        </w:rPr>
        <w:t>10.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ν.4389/2016 όπως ισχύουν,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11. Την ανάγκη ορισμού, ενδεικτικά, περιπτώσεων για τις οποίες συντρέχει έλλειψη υπαιτιότητας, προκειμένου να μη στοιχειοθετείται αλληλέγγυα ευθύνη σε βάρος φυσικών προσώπων που διοικούν νομικά πρόσωπα και νομικές οντότητες.</w:t>
      </w:r>
    </w:p>
    <w:p>
      <w:pPr>
        <w:pStyle w:val="PreambelText"/>
        <w:spacing w:before="240" w:after="240"/>
        <w:rPr>
          <w:lang w:val="el" w:eastAsia="el"/>
        </w:rPr>
      </w:pPr>
      <w:r>
        <w:rPr>
          <w:lang w:val="el" w:eastAsia="el"/>
        </w:rPr>
        <w:t>12. Το γεγονός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 xml:space="preserve">ΑΠΟΦΑΣΙΖΟΥΜΕΆρθρο </w:t>
      </w:r>
      <w:r>
        <w:rPr>
          <w:lang w:val="el" w:eastAsia="el"/>
        </w:rPr>
        <w:br/>
      </w:r>
      <w:r>
        <w:rPr>
          <w:b/>
          <w:bCs/>
          <w:lang w:val="el" w:eastAsia="el"/>
        </w:rPr>
        <w:t>1Πεδίο εφαρμογής</w:t>
      </w:r>
    </w:p>
    <w:p>
      <w:pPr>
        <w:pStyle w:val="PreambelText"/>
        <w:spacing w:before="240" w:after="240"/>
        <w:rPr>
          <w:lang w:val="el" w:eastAsia="el"/>
        </w:rPr>
      </w:pPr>
      <w:r>
        <w:rPr>
          <w:lang w:val="el" w:eastAsia="el"/>
        </w:rPr>
        <w:t>Τα πρόσωπα που φέρουν τις ιδιότητες που ορίζονται στην παρ. 1 του άρθρου 50 του ν. 4174/2013 (ΚΦΔ) θεωρούνται καταρχήν υπαίτια για τη μη καταβολή ή μη απόδοση των οριζόμενων στις ως άνω διατάξεις οφειλών των νομικών προσώπων και των νομικών οντοτήτων, εκτός αν στα πρόσωπα αυτά συντρέχει περίπτωση έλλειψης υπαιτιότητας, σύμφωνα με τις κατωτέρω ενδεικτικά αναφερόμενες περιπτώσεις, οι οποίες σε κάθε περίπτωση θα πρέπει να εξετάζονται από τις υπηρεσίες της ΑΑΔΕ, κατά λόγο αρμοδιότητας, πριν την εφαρμογή των διατάξεων του άρθρου 50 ΚΦΔ στα αλληλεγγύως ευθυνόμενα πρόσωπα.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2Ενδεικτικές περιπτώσεις έλλειψης υπαιτιότητας</w:t>
      </w:r>
    </w:p>
    <w:p>
      <w:pPr>
        <w:spacing w:before="240" w:after="240"/>
        <w:rPr>
          <w:lang w:val="el" w:eastAsia="el"/>
        </w:rPr>
      </w:pPr>
      <w:r>
        <w:rPr>
          <w:lang w:val="el" w:eastAsia="el"/>
        </w:rPr>
        <w:t>Για τους σκοπούς εφαρμογής της περ. γ΄ της παρ. 1 του άρθρου 50 του ΚΦΔ, ορίζονται ενδεικτικά περιπτώσεις έλλειψης υπαιτιότητας των προσώπων αυτών ως ακολούθως:</w:t>
      </w:r>
    </w:p>
    <w:p>
      <w:pPr>
        <w:pStyle w:val="MainText"/>
        <w:spacing w:before="120" w:after="0"/>
        <w:rPr>
          <w:lang w:val="el" w:eastAsia="el"/>
        </w:rPr>
      </w:pPr>
      <w:r>
        <w:rPr>
          <w:b/>
          <w:bCs/>
          <w:lang w:val="el" w:eastAsia="el"/>
        </w:rPr>
        <w:t>1.</w:t>
      </w:r>
      <w:r>
        <w:rPr>
          <w:lang w:val="el" w:eastAsia="el"/>
        </w:rPr>
        <w:t xml:space="preserve"> Αποδεδειγμένη και παρατεταμένη αδυναμία ασκήσεως καθηκόντων διοίκησης λόγω βαριάς ασθένειας που εμποδίζει το πρόσωπο που έχει τις ιδιότητες της παρ. 1 του άρθρου 50 του ΚΦΔ να επιληφθεί των υποθέσεων του νομικού προσώπου ή της νομικής οντότητας, κατά τον χρόνο στον οποίο ανάγεται η αλληλέγγυα ευθύνη του. Για την απόδειξη της αδυναμίας άσκησης καθηκόντων, θα πρέπει να προσκομίζεται σχετική ιατρική γνωμάτευση για κάθε έτος ευθύνης, βεβαίωση νοσηλείας από δημόσιο ή ιδιωτικό νοσοκομείο συνοδευόμενες από οποιοδήποτε άλλο σχετικό έγγραφο.</w:t>
      </w:r>
    </w:p>
    <w:p>
      <w:pPr>
        <w:pStyle w:val="MainText"/>
        <w:spacing w:before="120" w:after="0"/>
        <w:rPr>
          <w:lang w:val="el" w:eastAsia="el"/>
        </w:rPr>
      </w:pPr>
      <w:r>
        <w:rPr>
          <w:b/>
          <w:bCs/>
          <w:lang w:val="el" w:eastAsia="el"/>
        </w:rPr>
        <w:t>2.</w:t>
      </w:r>
      <w:r>
        <w:rPr>
          <w:lang w:val="el" w:eastAsia="el"/>
        </w:rPr>
        <w:t xml:space="preserve"> Εκκαθάριση του νομικού προσώπου ή της νομικής οντότητας σύμφωνα με ειδική διάταξη νόμου ή με δικαστική απόφαση με τις οποίες προσδιορίζεται ο χρόνος και ο τρόπος ικανοποίησης των πιστωτών του νομικού προσώπου/νομικής οντότητας. Στις περιπτώσεις αυτές ελέγχεται εάν πληρούνται οι προϋποθέσεις του άρθρου 50 ΚΦΔ για τον εκκαθαριστή μόνο για οφειλές που δημιουργούνται κατά την περίοδο της θητείας του.</w:t>
      </w:r>
    </w:p>
    <w:p>
      <w:pPr>
        <w:pStyle w:val="MainText"/>
        <w:spacing w:before="120" w:after="0"/>
        <w:rPr>
          <w:lang w:val="el" w:eastAsia="el"/>
        </w:rPr>
      </w:pPr>
      <w:r>
        <w:rPr>
          <w:b/>
          <w:bCs/>
          <w:lang w:val="el" w:eastAsia="el"/>
        </w:rPr>
        <w:t>3.</w:t>
      </w:r>
      <w:r>
        <w:rPr>
          <w:lang w:val="el" w:eastAsia="el"/>
        </w:rPr>
        <w:t xml:space="preserve"> Αποδεδειγμένη, με βάση έγγραφα (π.χ. σύμβαση εργασίας, βεβαίωση εταιρίας), αποκλειστική ανάθεση συγκεκριμένων καθηκόντων διοίκησης και εκπροσώπησης (όπως π.χ. διευθυντής μάρκετινγκ, δ/ντής ανθρωπίνου δυναμικού, δ/ντής πληροφορικής, δ/ντής τεχνικών – υποστηρικτικών υπηρεσιών, δ/ντής αποθήκης, δ/ντής πωλήσεων) που δεν άπτονται των φορολογικών υποχρεώσεων του νομικού προσώπου ή της νομικής οντότητας, εφόσον τα συγκεκριμένα πρόσωπα δεν έχουν αρμοδιότητα αποκλειστικής γενικής εκπροσώπησης και διαχείρισης του νομικού προσώπου ή της νομικής οντότητας, σύμφωνα με δημοσιευμένα έγγραφα.</w:t>
      </w:r>
    </w:p>
    <w:p>
      <w:pPr>
        <w:pStyle w:val="MainText"/>
        <w:spacing w:before="120" w:after="0"/>
        <w:rPr>
          <w:lang w:val="el" w:eastAsia="el"/>
        </w:rPr>
      </w:pPr>
      <w:r>
        <w:rPr>
          <w:b/>
          <w:bCs/>
          <w:lang w:val="el" w:eastAsia="el"/>
        </w:rPr>
        <w:t>4.</w:t>
      </w:r>
      <w:r>
        <w:rPr>
          <w:lang w:val="el" w:eastAsia="el"/>
        </w:rPr>
        <w:t xml:space="preserve"> Ύπαρξη αμετάκλητης αθωωτικής απόφασης ποινικού δικαστηρίου ή αμετάκλητου απαλλακτικού βουλεύματος ή τελεσίδικη απόφαση δικαστηρίου βάσει των οποίων διαπιστώνεται ρητά η έλλειψη υπαιτιότητας σχετικά με τη δημιουργία ή τη μη καταβολή της οριζόμενης στην παρ. 1 του άρθρου 50 του ΚΦΔ οφειλής από τον αλληλεγγύως υπόχρεο.</w:t>
      </w:r>
    </w:p>
    <w:p>
      <w:pPr>
        <w:pStyle w:val="MainText"/>
        <w:spacing w:before="120" w:after="0"/>
        <w:rPr>
          <w:lang w:val="el" w:eastAsia="el"/>
        </w:rPr>
      </w:pPr>
      <w:r>
        <w:rPr>
          <w:b/>
          <w:bCs/>
          <w:lang w:val="el" w:eastAsia="el"/>
        </w:rPr>
        <w:t>5.</w:t>
      </w:r>
      <w:r>
        <w:rPr>
          <w:lang w:val="el" w:eastAsia="el"/>
        </w:rPr>
        <w:t xml:space="preserve"> Παραίτηση προγενέστερη της κρίσιμης περιόδου, για την οποία τηρήθηκαν οι προβλεπόμενες διατυπώσεις δημοσιότητας, ακόμα και αν δεν έχει ενημερωθεί η Φορολογική Διοίκηση από το νομικό πρόσωπο/νομική οντότητα ή αποδεδειγμένη μη αποδοχή του διορισμού, η οποία αποδεικνύεται με έγγραφο περί μη αποδοχής αυτής, εφόσον έχει νομίμως επιδοθεί.</w:t>
      </w:r>
    </w:p>
    <w:p>
      <w:pPr>
        <w:pStyle w:val="MainText"/>
        <w:spacing w:before="120" w:after="0"/>
        <w:rPr>
          <w:lang w:val="el" w:eastAsia="el"/>
        </w:rPr>
      </w:pPr>
      <w:r>
        <w:rPr>
          <w:b/>
          <w:bCs/>
          <w:lang w:val="el" w:eastAsia="el"/>
        </w:rPr>
        <w:t>6.</w:t>
      </w:r>
      <w:r>
        <w:rPr>
          <w:lang w:val="el" w:eastAsia="el"/>
        </w:rPr>
        <w:t xml:space="preserve"> Μη εξόφληση των οφειλών προς το Δημόσιο νομικών προσώπων/νομικών οντοτήτων δημοσίου ή ιδιωτικού δικαίου μη κερδοσκοπικού χαρακτήρα, τα οποία έχουν ως κύριο οικονομικό πόρο (άνω του εβδομήντα τοις εκατό (70%) των ετήσιων εσόδων τους) την τακτική χρηματοδότηση που λαμβάνουν από το Ελληνικό Δημόσιο και το σύνολο των εσόδων τους δεν επαρκεί για την πληρωμή των φορολογικών τους υποχρεώσεων.</w:t>
      </w:r>
    </w:p>
    <w:p>
      <w:pPr>
        <w:pStyle w:val="MainText"/>
        <w:spacing w:before="120" w:after="0"/>
        <w:rPr>
          <w:lang w:val="el" w:eastAsia="el"/>
        </w:rPr>
      </w:pPr>
      <w:r>
        <w:rPr>
          <w:b/>
          <w:bCs/>
          <w:lang w:val="el" w:eastAsia="el"/>
        </w:rPr>
        <w:t>7.</w:t>
      </w:r>
      <w:r>
        <w:rPr>
          <w:lang w:val="el" w:eastAsia="el"/>
        </w:rPr>
        <w:t xml:space="preserve"> Ανάληψη της διοίκησης φορέων της γενικής κυβέρνησης ή του ευρύτερου δημόσιου τομέα με αποκλειστικό σκοπό τη διευκόλυνση ή / και ολοκλήρωση ελέγχου που έχει διαταχθεί από εισαγγελικές αρχές, από αρχές διαχειριστικού ελέγχου ή από ανεξάρτητες αρχές.</w:t>
      </w:r>
    </w:p>
    <w:p>
      <w:pPr>
        <w:pStyle w:val="MainText"/>
        <w:spacing w:before="120" w:after="0"/>
        <w:rPr>
          <w:lang w:val="el" w:eastAsia="el"/>
        </w:rPr>
      </w:pPr>
      <w:r>
        <w:rPr>
          <w:b/>
          <w:bCs/>
          <w:lang w:val="el" w:eastAsia="el"/>
        </w:rPr>
        <w:t>8.</w:t>
      </w:r>
      <w:r>
        <w:rPr>
          <w:lang w:val="el" w:eastAsia="el"/>
        </w:rPr>
        <w:t xml:space="preserve"> Ορισμός ως νομίμου εκπροσώπου αλλοδαπού νομικού προσώπου / </w:t>
      </w:r>
    </w:p>
    <w:p>
      <w:pPr>
        <w:spacing w:before="240" w:after="240"/>
        <w:rPr>
          <w:lang w:val="el" w:eastAsia="el"/>
        </w:rPr>
      </w:pPr>
      <w:r>
        <w:rPr>
          <w:lang w:val="el" w:eastAsia="el"/>
        </w:rPr>
        <w:t>νομικής οντότητας, το οποίο δεν έχει μόνιμη εγκατάσταση στην Ελλάδα, εφόσον, στον εν λόγω νόμιμο εκπρόσωπο δίδεται συγκεκριμένη εντολή ή παρέχεται συγκεκριμένη εξουσιοδότηση από τα πρόσωπα τα οποία διοικούν το αλλοδαπό νομικό πρόσωπο/νομική οντότητα, ιδίως με σκοπό την εκπλήρωση διαδικαστικών υποχρεώσεων του αλλοδαπού νομικού προσώπου/νομικής οντότητας στην Ελλάδα ή τη διεκπεραίωση συγκεκριμένων υποθέσεων (ενδεικτικά: εκπροσώπηση στην Ελλάδαγια την ίδρυση θυγατρικής εταιρείας, εκπροσώπηση για την αγορά ή την πώληση ακινήτου στην Ελλάδα, εκπροσώπηση ενώπιον δημοσίων υπηρεσιών, εκπροσώπηση για το άνοιγμα τραπεζικού λογαριασμού κ.λ.π.).</w:t>
      </w:r>
    </w:p>
    <w:p>
      <w:pPr>
        <w:pStyle w:val="MainText"/>
        <w:spacing w:before="120" w:after="0"/>
        <w:rPr>
          <w:lang w:val="el" w:eastAsia="el"/>
        </w:rPr>
      </w:pPr>
      <w:r>
        <w:rPr>
          <w:b/>
          <w:bCs/>
          <w:lang w:val="el" w:eastAsia="el"/>
        </w:rPr>
        <w:t>9.</w:t>
      </w:r>
      <w:r>
        <w:rPr>
          <w:lang w:val="el" w:eastAsia="el"/>
        </w:rPr>
        <w:t xml:space="preserve"> Στην περίπτωση κατά την οποία πρόσωπα που αν και φέρουν μία από τις ιδιότητες που προβλέπονται στην παρ. 1 του άρθρου 50 ΚΦΔ δεν έχουν πραγματική ανάμειξη στη διοίκηση/διαχείριση των υποθέσεων του νομικού προσώπου ή της νομικής οντότητας. Για την περίπτωση αυτή εκτιμώνται συνολικά και λαμβάνονται υπόψη στοιχεία, όπως: η έλλειψη αμοιβής προς το πρόσωπο αυτό, η έλλειψη μετοχικής ή εταιρικής σχέσης με το νομικό πρόσωπο ή τη νομική οντότητα, η μη διενέργεια τραπεζικών συναλλαγών, η μη διαχείριση των εταιρικών τραπεζικών λογαριασμών (βεβαίωση από τις συνεργαζόμενες με την εταιρεία τράπεζες με την οποία αποδεικνύεται ότι δεν υπάρχει δείγμα υπογραφής του προσώπου αυτού, ώστε το πρόσωπο αυτό να μπορεί να υπογράφει για λογαριασμό του νομικού προσώπου), η μη υπογραφή πρακτικών Διοικητικού Συμβουλίου ή οικονομικών καταστάσεων, σε συνδυασμό με στοιχεία που αποδεικνύουν το πρόσωπο που πραγματικά διαχειρίζεται τις εταιρικές υποθέσεις.</w:t>
      </w:r>
    </w:p>
    <w:p>
      <w:pPr>
        <w:pStyle w:val="MainText"/>
        <w:spacing w:before="120" w:after="0"/>
        <w:rPr>
          <w:lang w:val="el" w:eastAsia="el"/>
        </w:rPr>
      </w:pPr>
      <w:r>
        <w:rPr>
          <w:b/>
          <w:bCs/>
          <w:lang w:val="el" w:eastAsia="el"/>
        </w:rPr>
        <w:t>10.</w:t>
      </w:r>
      <w:r>
        <w:rPr>
          <w:lang w:val="el" w:eastAsia="el"/>
        </w:rPr>
        <w:t xml:space="preserve"> Έλλειψη δικαιοπρακτικής ικανότητας κατά τον επίμαχο χρόνο, πιστοποιούμενη από δικαστική απόφαση (π.χ. θέση υπό δικαστική συμπαράσταση).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 και καταλαμβάνει και περιπτώσεις για τις οποίες έχει υποβληθεί αίτηση περί έλλειψης υπαιτιότητας που η εξέτασή της εκκρεμεί ενώπιον της Φορολογικής Διοίκησης.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Πληροφοριών (για ανάρτηση στην Ηλεκτρονική Βιβλιοθήκη)</w:t>
      </w:r>
    </w:p>
    <w:p>
      <w:pPr>
        <w:spacing w:before="240" w:after="240"/>
        <w:rPr>
          <w:lang w:val="el" w:eastAsia="el"/>
        </w:rPr>
      </w:pPr>
      <w:r>
        <w:rPr>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 2 και 3 αυτού), Β΄ (εκτός των αριθ. 1 και 2 αυτού), Ζ΄ (εκτός των αριθ. 2 και 6 αυτού), Η’ (εκτός των αριθ. 4, 10 και 11 αυτού), ΙΑ΄ (εκτός των αριθ. 1 και 4 αυτού), ΙΗ’ και ΚΑ΄</w:t>
      </w:r>
    </w:p>
    <w:p>
      <w:pPr>
        <w:spacing w:before="240" w:after="240"/>
        <w:rPr>
          <w:lang w:val="el" w:eastAsia="el"/>
        </w:rPr>
      </w:pPr>
      <w:r>
        <w:rPr>
          <w:lang w:val="el" w:eastAsia="el"/>
        </w:rPr>
        <w:t>4. Επιχειρησιακή Δ/νση ΣΔΟΕ Αττικής και Επιχειρησιακή Δ/νση ΣΔΟΕ Μακεδονίας</w:t>
      </w:r>
    </w:p>
    <w:p>
      <w:pPr>
        <w:spacing w:before="240" w:after="240"/>
        <w:rPr>
          <w:lang w:val="el" w:eastAsia="el"/>
        </w:rPr>
      </w:pPr>
      <w:r>
        <w:rPr>
          <w:lang w:val="el" w:eastAsia="el"/>
        </w:rPr>
        <w:t>5. Γραφείο Γενικής Γραμματέως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Γενικής Δ/ντριας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Τμήματα Α΄ - Β΄</w:t>
      </w:r>
    </w:p>
    <w:p>
      <w:pPr>
        <w:spacing w:before="240" w:after="240"/>
        <w:rPr>
          <w:lang w:val="el" w:eastAsia="el"/>
        </w:rPr>
      </w:pPr>
      <w:r>
        <w:rPr>
          <w:lang w:val="el" w:eastAsia="el"/>
        </w:rPr>
        <w:t>6. Δ/νση Εφαρμογής Έμμεσης Φορολογίας</w:t>
      </w:r>
    </w:p>
    <w:p>
      <w:pPr>
        <w:spacing w:before="240" w:after="240"/>
        <w:rPr>
          <w:lang w:val="el" w:eastAsia="el"/>
        </w:rPr>
      </w:pPr>
      <w:r>
        <w:rPr>
          <w:lang w:val="el" w:eastAsia="el"/>
        </w:rPr>
        <w:t>7. Δ/νση Εισπράξεων</w:t>
      </w:r>
    </w:p>
    <w:p>
      <w:pPr>
        <w:spacing w:before="240" w:after="240"/>
        <w:rPr>
          <w:lang w:val="el" w:eastAsia="el"/>
        </w:rPr>
      </w:pPr>
      <w:r>
        <w:rPr>
          <w:lang w:val="el" w:eastAsia="el"/>
        </w:rPr>
        <w:t>8. Δ/νση Εφαρμογής Φορολογίας Κεφαλαίου και Περιουσιολογίου</w:t>
      </w:r>
    </w:p>
    <w:p>
      <w:pPr>
        <w:spacing w:before="240" w:after="240"/>
        <w:rPr>
          <w:lang w:val="el" w:eastAsia="el"/>
        </w:rPr>
      </w:pPr>
      <w:r>
        <w:rPr>
          <w:lang w:val="el" w:eastAsia="el"/>
        </w:rPr>
        <w:t>9. Δ/νση Ελέγχων – Τμήματα</w:t>
      </w:r>
    </w:p>
    <w:p>
      <w:pPr>
        <w:spacing w:before="240" w:after="240"/>
        <w:rPr>
          <w:lang w:val="el" w:eastAsia="el"/>
        </w:rPr>
      </w:pPr>
      <w:r>
        <w:rPr>
          <w:lang w:val="el" w:eastAsia="el"/>
        </w:rPr>
        <w:t>10.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