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44809 ΕΞ 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Τήρηση επαγγελματικών τραπεζικών λογαριασμών των υπαλλήλων των πλειστηριασμών που εμπίπτουν στο πεδίο εφαρμογής του ν. 4738/2020 (Α’ 207).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 ΔΙΚΑΙΟΣΥΝΗΣ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1 του άρθρου 207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90 του «Κώδικα Νομοθεσίας για την Κυβέρνηση και τα κυβερνητικά όργανα», που κυρώθηκε με το άρθρο πρώτο του π.δ. 63/2005 (Α’ 98) και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π.δ. 81/2019 «Σύσταση, συγχώνευση και μετονομασία Υπουργείων και καθορισμός αρμοδιοτήτων τους - Μεταφορά υπηρεσιών και αρμοδιοτήτων μεταξύ Υπουργείων» (Α’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π.δ. 83/2019 «Διορισμός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6/2021 «Οργανισμός του Υπουργείου Δικαιοσύνης» (Α’ 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την τήρηση των επαγγελματικών τραπεζικών λογαριασμών των υπαλλήλων των πλειστηριασμών που εμπίπτουν στο πεδίο εφαρμογής του ν. 4738/2020 «Ρύθμιση οφειλών και παροχή δεύτερης ευκαιρίας και άλλες διατάξεις» (Α’ 207), ισχύουν τα αναφερόμενα στην υπ’ αρ. 86979 οικ./29-11-2017 (Β’ 4163) κοινή υπουργική απόφαση με θέμα «Τήρηση ειδικού ακατάσχετου επαγγελματικού λογαριασμού των υπαλλήλων των πλειστηριασμών».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13 Απριλίου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 Δικαιοσύνης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 ΚΩΝΣΤΑΝΤΙΝΟΣ ΤΣΙΑΡΑΣ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