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20706/Σ.1771</w:t>
      </w:r>
    </w:p>
    <w:p>
      <w:pPr>
        <w:spacing w:before="240" w:after="240"/>
        <w:rPr>
          <w:lang w:val="el" w:eastAsia="el"/>
        </w:rPr>
      </w:pPr>
      <w:r>
        <w:rPr>
          <w:b/>
          <w:bCs/>
          <w:lang w:val="el" w:eastAsia="el"/>
        </w:rPr>
        <w:t>Τροποποίηση της υπ’ αρ. 5774/203/5-2-2021 κοινής απόφασης των Υπουργών Οικονομικών, Εργασίας και Κοινωνικών Υποθέσεων, Πολιτισμού και Αθλητισμού και Επικρατείας «Ενίσχυση επιχειρήσεων θεάτρων, μουσικών σκηνών, χοροθεάτρων, συναυλιακών χώρων και χώρων παραστάσεων στο πλαίσιο αντιμετώπισης των συνεπειών του COVID-19» (Β’ 457).</w:t>
      </w:r>
    </w:p>
    <w:p>
      <w:pPr>
        <w:spacing w:before="240" w:after="240"/>
        <w:rPr>
          <w:lang w:val="el" w:eastAsia="el"/>
        </w:rPr>
      </w:pPr>
      <w:r>
        <w:rPr>
          <w:b/>
          <w:bCs/>
          <w:lang w:val="el" w:eastAsia="el"/>
        </w:rPr>
        <w:t>ΟΙ ΥΠΟΥΡΓΟΙ ΟΙΚΟΝΟΜΙΚΩΝ - ΕΡΓΑΣΙΑΣ ΚΑΙ ΚΟΙΝΩΝΙΚΩΝ ΥΠΟΘΕΣΕΩΝ - ΠΟΛΙΤΙΣΜΟΥ ΚΑΙ ΑΘΛΗΤΙΣΜΟΥ -</w:t>
      </w:r>
    </w:p>
    <w:p>
      <w:pPr>
        <w:spacing w:before="240" w:after="240"/>
        <w:rPr>
          <w:lang w:val="el" w:eastAsia="el"/>
        </w:rPr>
      </w:pPr>
      <w:r>
        <w:rPr>
          <w:b/>
          <w:bCs/>
          <w:lang w:val="el" w:eastAsia="el"/>
        </w:rPr>
        <w:t>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70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w:t>
      </w:r>
    </w:p>
    <w:p>
      <w:pPr>
        <w:spacing w:before="240" w:after="240"/>
        <w:rPr>
          <w:lang w:val="el" w:eastAsia="el"/>
        </w:rPr>
      </w:pPr>
      <w:r>
        <w:rPr>
          <w:lang w:val="el" w:eastAsia="el"/>
        </w:rPr>
        <w:t>2.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L352/1/24.12.2013).</w:t>
      </w:r>
    </w:p>
    <w:p>
      <w:pPr>
        <w:spacing w:before="240" w:after="240"/>
        <w:rPr>
          <w:lang w:val="el" w:eastAsia="el"/>
        </w:rPr>
      </w:pPr>
      <w:r>
        <w:rPr>
          <w:lang w:val="el" w:eastAsia="el"/>
        </w:rPr>
        <w:t>3.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 και ιδίως τον ορισμό του σημείου 18 του άρθρου 2 (προβληματική επιχείρηση) και το παράρτημα Ι σχετικά με τον ορισμό ΜΜΕ.</w:t>
      </w:r>
    </w:p>
    <w:p>
      <w:pPr>
        <w:spacing w:before="240" w:after="240"/>
        <w:rPr>
          <w:lang w:val="el" w:eastAsia="el"/>
        </w:rPr>
      </w:pPr>
      <w:r>
        <w:rPr>
          <w:lang w:val="el" w:eastAsia="el"/>
        </w:rPr>
        <w:t>4.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και ιδίως το τμήμα 3.1.</w:t>
      </w:r>
    </w:p>
    <w:p>
      <w:pPr>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6.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7.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spacing w:before="240" w:after="240"/>
        <w:rPr>
          <w:lang w:val="el" w:eastAsia="el"/>
        </w:rPr>
      </w:pPr>
      <w:r>
        <w:rPr>
          <w:lang w:val="el" w:eastAsia="el"/>
        </w:rPr>
        <w:t>8. Την παρ. 2 του άρθρου 12 και παρ. 3 του άρθρου 9 του π.δ. 80/2016 «Ανάληψη υποχρεώσεων από τους διατάκτες» (Α’ 145).</w:t>
      </w:r>
    </w:p>
    <w:p>
      <w:pPr>
        <w:spacing w:before="240" w:after="240"/>
        <w:rPr>
          <w:lang w:val="el" w:eastAsia="el"/>
        </w:rPr>
      </w:pPr>
      <w:r>
        <w:rPr>
          <w:lang w:val="el" w:eastAsia="el"/>
        </w:rPr>
        <w:t>9.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10. Το π.δ. 142/2017 «Οργανισμός Υπουργείου Οικονομικών» (Α’ 181).</w:t>
      </w:r>
    </w:p>
    <w:p>
      <w:pPr>
        <w:spacing w:before="240" w:after="240"/>
        <w:rPr>
          <w:lang w:val="el" w:eastAsia="el"/>
        </w:rPr>
      </w:pPr>
      <w:r>
        <w:rPr>
          <w:lang w:val="el" w:eastAsia="el"/>
        </w:rPr>
        <w:t>11. Το π.δ. 4/2018 «Οργανισμός Υπουργείου Πολιτισμού και Αθλητισμού» (Α’ 7).</w:t>
      </w:r>
    </w:p>
    <w:p>
      <w:pPr>
        <w:spacing w:before="240" w:after="240"/>
        <w:rPr>
          <w:lang w:val="el" w:eastAsia="el"/>
        </w:rPr>
      </w:pPr>
      <w:r>
        <w:rPr>
          <w:lang w:val="el" w:eastAsia="el"/>
        </w:rPr>
        <w:t>12. Το π.δ. 40/2020 «Οργανισμός Υπουργείου Ψηφιακής Διακυβέρνησης» (Α’ 85).</w:t>
      </w:r>
    </w:p>
    <w:p>
      <w:pPr>
        <w:spacing w:before="240" w:after="240"/>
        <w:rPr>
          <w:lang w:val="el" w:eastAsia="el"/>
        </w:rPr>
      </w:pPr>
      <w:r>
        <w:rPr>
          <w:lang w:val="el" w:eastAsia="el"/>
        </w:rPr>
        <w:t>13.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15.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16. Το π.δ. 62/2020 «Διορισμός αναπληρωτών Υπουργών και Υφυπουργών» (Α’ 155).</w:t>
      </w:r>
    </w:p>
    <w:p>
      <w:pPr>
        <w:spacing w:before="240" w:after="240"/>
        <w:rPr>
          <w:lang w:val="el" w:eastAsia="el"/>
        </w:rPr>
      </w:pPr>
      <w:r>
        <w:rPr>
          <w:lang w:val="el" w:eastAsia="el"/>
        </w:rPr>
        <w:t>17. Το π.δ. 2/2021 «Διορισμός Υπουργών, Αναπληρωτών Υπουργών και Υφυπουργών» (Α’ 2).</w:t>
      </w:r>
    </w:p>
    <w:p>
      <w:pPr>
        <w:spacing w:before="240" w:after="240"/>
        <w:rPr>
          <w:lang w:val="el" w:eastAsia="el"/>
        </w:rPr>
      </w:pPr>
      <w:r>
        <w:rPr>
          <w:lang w:val="el" w:eastAsia="el"/>
        </w:rPr>
        <w:t>18. Την υπό στοιχεία Υ6/19-7-2020 απόφαση του Πρωθυπουργού «Ανάθεση αρμοδιοτήτων στον Υπουργό Επικρατείας» (Β’ 2902).</w:t>
      </w:r>
    </w:p>
    <w:p>
      <w:pPr>
        <w:spacing w:before="240" w:after="240"/>
        <w:rPr>
          <w:lang w:val="el" w:eastAsia="el"/>
        </w:rPr>
      </w:pPr>
      <w:r>
        <w:rPr>
          <w:lang w:val="el" w:eastAsia="el"/>
        </w:rPr>
        <w:t>19. Την υπό στοιχεία Υ70/30-10-2020 απόφαση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20. Την υπ’ αρ. 8071/8-1-2021 κοινή απόφαση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spacing w:before="240" w:after="240"/>
        <w:rPr>
          <w:lang w:val="el" w:eastAsia="el"/>
        </w:rPr>
      </w:pPr>
      <w:r>
        <w:rPr>
          <w:lang w:val="el" w:eastAsia="el"/>
        </w:rPr>
        <w:t>21. Την υπό στοιχεία 59886/ΕΥΚΕ913/11.06.2020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ΑΔΑ: ΩΦ7Π46ΜΤΛΡ-ΔΝΩ).</w:t>
      </w:r>
    </w:p>
    <w:p>
      <w:pPr>
        <w:spacing w:before="240" w:after="240"/>
        <w:rPr>
          <w:lang w:val="el" w:eastAsia="el"/>
        </w:rPr>
      </w:pPr>
      <w:r>
        <w:rPr>
          <w:lang w:val="el" w:eastAsia="el"/>
        </w:rPr>
        <w:t>22. Την υπ’ αρ. οικ. 5774/203/5-2-2021 κοινή απόφαση των Υπουργών Οικονομικών, Εργασίας και Κοινωνικών Υποθέσεων, Πολιτισμού και Αθλητισμού και Επικρατείας «Ενίσχυση επιχειρήσεων θεάτρων, μουσικών σκηνών, χοροθεάτρων, συναυλιακών χώρων και χώρων παραστάσεων στο πλαίσιο αντιμετώπισης των συνεπειών του COVID-19» (Β’ 457).</w:t>
      </w:r>
    </w:p>
    <w:p>
      <w:pPr>
        <w:spacing w:before="240" w:after="240"/>
        <w:rPr>
          <w:lang w:val="el" w:eastAsia="el"/>
        </w:rPr>
      </w:pPr>
      <w:r>
        <w:rPr>
          <w:lang w:val="el" w:eastAsia="el"/>
        </w:rPr>
        <w:t>23. Την υπ’ αρ. 015/2021 (14456ΕΞ 2021 ΕΜΠ/4-2-2021) γνωμοδότηση της Κεντρικής Μονάδας Κρατικών Ενισχύσεων του Υπουργείου Οικονομικών.</w:t>
      </w:r>
    </w:p>
    <w:p>
      <w:pPr>
        <w:spacing w:before="240" w:after="240"/>
        <w:rPr>
          <w:lang w:val="el" w:eastAsia="el"/>
        </w:rPr>
      </w:pPr>
      <w:r>
        <w:rPr>
          <w:lang w:val="el" w:eastAsia="el"/>
        </w:rPr>
        <w:t>24. Την υπό στοιχεία οικ. 13133/Σ.161/26-3-2021 εισήγηση του τμήματος Κρατικών Ενισχύσεων της Διεύθυνσης Προϋπολογισμού και Δημοσιονομικών Αναφορών του Υπουργείου Εργασίας και Κοινωνικών Υποθέσεων.</w:t>
      </w:r>
    </w:p>
    <w:p>
      <w:pPr>
        <w:spacing w:before="240" w:after="240"/>
        <w:rPr>
          <w:lang w:val="el" w:eastAsia="el"/>
        </w:rPr>
      </w:pPr>
      <w:r>
        <w:rPr>
          <w:lang w:val="el" w:eastAsia="el"/>
        </w:rPr>
        <w:t>25. Την υπ’ αρ. 13128/26-3-2021 εισήγηση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26. Την ανάγκη στήριξης των επιχειρήσεων του πολιτισμού που επλήγησαν σημαντικά από τις συνέπειες των έκτακτων μέτρων αντιμετώπισης της πανδημίας COVID-19.</w:t>
      </w:r>
    </w:p>
    <w:p>
      <w:pPr>
        <w:spacing w:before="240" w:after="240"/>
        <w:rPr>
          <w:lang w:val="el" w:eastAsia="el"/>
        </w:rPr>
      </w:pPr>
      <w:r>
        <w:rPr>
          <w:lang w:val="el" w:eastAsia="el"/>
        </w:rPr>
        <w:t>27. Το γεγονός ότι από τις διατάξεις της παρούσας δεν προκαλείται επιπλέον δαπάνη στον κρατικό προϋπολογισμό και στον Προϋπολογισμό του Υπουργείου Εργασίας και Κοινωνικών Υποθέσεων, πέραν από αυτής που προβλέπεται στην υπ’ αρ. 5774/203/5-2-2021 κοινή υπουργική απόφαση, αποφασίζουμε:</w:t>
      </w:r>
    </w:p>
    <w:p>
      <w:pPr>
        <w:spacing w:before="240" w:after="240"/>
        <w:rPr>
          <w:lang w:val="el" w:eastAsia="el"/>
        </w:rPr>
      </w:pPr>
      <w:r>
        <w:rPr>
          <w:lang w:val="el" w:eastAsia="el"/>
        </w:rPr>
        <w:t>Την τροποποίηση της υπ’ αρ. 5774/203/5-2-2021 κοινής απόφασης των Υπουργών Οικονομικών, Εργασίας και Κοινωνικών Υποθέσεων, Πολιτισμού και Αθλητισμού και Επικρατείας «Ενίσχυση επιχειρήσεων θεάτρων, μουσικών σκηνών, χοροθεάτρων, συναυλιακών χώρων και χώρων παραστάσεων στο πλαίσιο αντιμετώπισης των συνεπειών του COVID-19» (Β’ 457), ως εξής:</w:t>
      </w:r>
    </w:p>
    <w:p>
      <w:pPr>
        <w:spacing w:before="240" w:after="240"/>
        <w:rPr>
          <w:lang w:val="el" w:eastAsia="el"/>
        </w:rPr>
      </w:pPr>
      <w:r>
        <w:rPr>
          <w:lang w:val="el" w:eastAsia="el"/>
        </w:rPr>
        <w:t>Α. Η παρ. 2 του άρθρου 1 αντικαθίσταται ως εξής:</w:t>
      </w:r>
    </w:p>
    <w:p>
      <w:pPr>
        <w:spacing w:before="240" w:after="240"/>
        <w:rPr>
          <w:lang w:val="el" w:eastAsia="el"/>
        </w:rPr>
      </w:pPr>
      <w:r>
        <w:rPr>
          <w:lang w:val="el" w:eastAsia="el"/>
        </w:rPr>
        <w:t>«2. Ι. Η οικονομική ενίσχυση στο πλαίσιο της παρούσας χορηγείται άμεσα με την ολοκλήρωση των διαδικασιών της αίτησης και του ελέγχου αυτής σύμφωνα με τα κατωτέρω και όχι αργότερα από τις 31 Δεκεμβρίου 2021:</w:t>
      </w:r>
    </w:p>
    <w:p>
      <w:pPr>
        <w:spacing w:before="240" w:after="240"/>
        <w:rPr>
          <w:lang w:val="el" w:eastAsia="el"/>
        </w:rPr>
      </w:pPr>
      <w:r>
        <w:rPr>
          <w:lang w:val="el" w:eastAsia="el"/>
        </w:rPr>
        <w:t>i) είτε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spacing w:before="240" w:after="240"/>
        <w:rPr>
          <w:lang w:val="el" w:eastAsia="el"/>
        </w:rPr>
      </w:pPr>
      <w:r>
        <w:rPr>
          <w:lang w:val="el" w:eastAsia="el"/>
        </w:rPr>
        <w:t>ii) είτε σύμφωνα με τους όρους του Κανονισμού (ΕΕ) υπ’ αρ. 1407/2013 για τις ενισχύσεις ήσσονος σημασίας (Κανονισμός de minimis).</w:t>
      </w:r>
    </w:p>
    <w:p>
      <w:pPr>
        <w:spacing w:before="240" w:after="240"/>
        <w:rPr>
          <w:lang w:val="el" w:eastAsia="el"/>
        </w:rPr>
      </w:pPr>
      <w:r>
        <w:rPr>
          <w:lang w:val="el" w:eastAsia="el"/>
        </w:rPr>
        <w:t>ΙΙ.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ή με δήλωση γνωστοποίησης (παράρτημα B της υπ’ αρ. 16228/17.5.2017 κοινής υπουργικής απόφασης (Β’ 1723), στο πεδίο Δ.1) είτε θεάτρου, είτε μουσικής σκηνής ή γενικά χώρου παραστάσεων, εξαιρουμένων των αθλητικών εγκαταστάσεων,</w:t>
      </w:r>
    </w:p>
    <w:p>
      <w:pPr>
        <w:spacing w:before="240" w:after="240"/>
        <w:rPr>
          <w:lang w:val="el" w:eastAsia="el"/>
        </w:rPr>
      </w:pPr>
      <w:r>
        <w:rPr>
          <w:lang w:val="el" w:eastAsia="el"/>
        </w:rPr>
        <w:t>β. έχουν θετικό κύκλο εργασιών σε οποιαδήποτε δήλωση ΦΠΑ από 1η Ιανουαρίου 2019 έως 30 Σεπτεμβρίου 2020, και</w:t>
      </w:r>
    </w:p>
    <w:p>
      <w:pPr>
        <w:spacing w:before="240" w:after="240"/>
        <w:rPr>
          <w:lang w:val="el" w:eastAsia="el"/>
        </w:rPr>
      </w:pPr>
      <w:r>
        <w:rPr>
          <w:lang w:val="el" w:eastAsia="el"/>
        </w:rPr>
        <w:t>γ. παρουσιάζουν πτώση κύκλου εργασιών κατά το χρονικό διάστημα Μαρτίου 2020 -Σεπτεμβρίου 2020 σε σχέση με το χρονικό διάστημα Μαρτίου 2019 - Σεπτεμβρίου 2019 τουλάχιστον 20%.</w:t>
      </w:r>
    </w:p>
    <w:p>
      <w:pPr>
        <w:spacing w:before="240" w:after="240"/>
        <w:rPr>
          <w:lang w:val="el" w:eastAsia="el"/>
        </w:rPr>
      </w:pPr>
      <w:r>
        <w:rPr>
          <w:lang w:val="el" w:eastAsia="el"/>
        </w:rPr>
        <w:t>ΙΙΙ. Επιπλέον των προϋποθέσεων της υποπαρ. ΙΙ, η επιχείρηση πρέπει να πληροί τις κάτωθι προϋποθέσεις, κατά περίπτωση:</w:t>
      </w:r>
    </w:p>
    <w:p>
      <w:pPr>
        <w:spacing w:before="240" w:after="240"/>
        <w:rPr>
          <w:lang w:val="el" w:eastAsia="el"/>
        </w:rPr>
      </w:pPr>
      <w:r>
        <w:rPr>
          <w:lang w:val="el" w:eastAsia="el"/>
        </w:rPr>
        <w:t>α. Εφόσον αιτείται της οικονομικής ενίσχυσης δυνάμει του Προσωρινού Πλαισίου (ΠΠ), πρέπει:</w:t>
      </w:r>
    </w:p>
    <w:p>
      <w:pPr>
        <w:spacing w:before="240" w:after="240"/>
        <w:rPr>
          <w:lang w:val="el" w:eastAsia="el"/>
        </w:rPr>
      </w:pPr>
      <w:r>
        <w:rPr>
          <w:lang w:val="el" w:eastAsia="el"/>
        </w:rPr>
        <w:t>i) να μην έχει λάβει σε επίπεδο ενιαίας επιχείρησης, κατά την έννοια του παραρτήματος Ι του Κανονισμού (ΕΕ) 651/2014, ενίσχυση που έχει κριθεί παράνομη και ασυμβίβαστη με βάση απόφασης της Ευρωπαϊκής Επιτροπής ή του Δ.Ε.Ε.,</w:t>
      </w:r>
    </w:p>
    <w:p>
      <w:pPr>
        <w:spacing w:before="240" w:after="240"/>
        <w:rPr>
          <w:lang w:val="el" w:eastAsia="el"/>
        </w:rPr>
      </w:pPr>
      <w:r>
        <w:rPr>
          <w:lang w:val="el" w:eastAsia="el"/>
        </w:rPr>
        <w:t>ii) να μην ήταν προβληματική στις 31/12/2019, σύμφωνα με τον ορισμό του σημείου 18 του άρθρου 2 του Κανονισμού (ΕΕ) 651/2014, σε επίπεδο αιτούσας καθώς και σε επίπεδο ενιαίας επιχείρησης,</w:t>
      </w:r>
    </w:p>
    <w:p>
      <w:pPr>
        <w:spacing w:before="240" w:after="240"/>
        <w:rPr>
          <w:lang w:val="el" w:eastAsia="el"/>
        </w:rPr>
      </w:pPr>
      <w:r>
        <w:rPr>
          <w:lang w:val="el" w:eastAsia="el"/>
        </w:rPr>
        <w:t>ή εάν πρόκειται για μικρή/πολύ μικρή επιχείρηση, ακόμα και αν ήταν ήδη προβληματική στις 31/12/2019, να μην υπάγεται σε συλλογική διαδικασία αφερεγγυότητας και να μην έχει λάβει ενίσχυση διάσωσης ή αναδιάρθρωσης, iii) 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 τμήμα 3.1 του ΠΠ, να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β. Εφόσον αιτείται της οικονομικής ενίσχυσης δυνάμει του Κανονισμού 1407/2013 (De minimis), πρέπει:</w:t>
      </w:r>
    </w:p>
    <w:p>
      <w:pPr>
        <w:spacing w:before="240" w:after="240"/>
        <w:rPr>
          <w:lang w:val="el" w:eastAsia="el"/>
        </w:rPr>
      </w:pPr>
      <w:r>
        <w:rPr>
          <w:lang w:val="el" w:eastAsia="el"/>
        </w:rPr>
        <w:t>i) να μη δραστηριοποιείται στην πρωτογενή παραγωγή γεωργικών προϊόντων, ή στους τομείς της αλιείας και της υδατοκαλλιέργειας,</w:t>
      </w:r>
    </w:p>
    <w:p>
      <w:pPr>
        <w:spacing w:before="240" w:after="240"/>
        <w:rPr>
          <w:lang w:val="el" w:eastAsia="el"/>
        </w:rPr>
      </w:pPr>
      <w:r>
        <w:rPr>
          <w:lang w:val="el" w:eastAsia="el"/>
        </w:rPr>
        <w:t>ii) 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τον Κανονισμό De minimis, να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iii)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υπ’ αρ. 1407/13, να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lang w:val="el" w:eastAsia="el"/>
        </w:rPr>
        <w:t>iv) σε περίπτωση κατά την οποία η ενίσχυση που χορηγείται, σύμφωνα με την παρούσα, συνδυάζεται με ενισχύσεις δυνάμει άλλων ενωσιακών κανόνων, απαιτείται η συμμόρφωση με τις οικείες εντάσεις ενίσχυσης και τις σχετικές προϋποθέσεις».</w:t>
      </w:r>
    </w:p>
    <w:p>
      <w:pPr>
        <w:spacing w:before="240" w:after="240"/>
        <w:rPr>
          <w:lang w:val="el" w:eastAsia="el"/>
        </w:rPr>
      </w:pPr>
      <w:r>
        <w:rPr>
          <w:lang w:val="el" w:eastAsia="el"/>
        </w:rPr>
        <w:t>Β. Στο άρθρο 2 προστίθενται παράγραφοι 2, 3, 4, 5, 6 και 7 ως ακολούθως:</w:t>
      </w:r>
    </w:p>
    <w:p>
      <w:pPr>
        <w:spacing w:before="240" w:after="240"/>
        <w:rPr>
          <w:lang w:val="el" w:eastAsia="el"/>
        </w:rPr>
      </w:pPr>
      <w:r>
        <w:rPr>
          <w:lang w:val="el" w:eastAsia="el"/>
        </w:rPr>
        <w:t>«2. Για τις επιχειρήσεις που λαμβάνουν την οικονομική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και δεν δύναται να υπερβαίνει το ποσό του ενός εκατομμυρίου οχτακοσίων χιλιάδων (1.800.000) ευρώ.</w:t>
      </w:r>
    </w:p>
    <w:p>
      <w:pPr>
        <w:spacing w:before="240" w:after="240"/>
        <w:rPr>
          <w:lang w:val="el" w:eastAsia="el"/>
        </w:rPr>
      </w:pPr>
      <w:r>
        <w:rPr>
          <w:lang w:val="el" w:eastAsia="el"/>
        </w:rPr>
        <w:t>3. Για τις επιχειρήσεις που λαμβάνουν την οικονομική ενίσχυση βάσει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w:t>
      </w:r>
    </w:p>
    <w:p>
      <w:pPr>
        <w:spacing w:before="240" w:after="240"/>
        <w:rPr>
          <w:lang w:val="el" w:eastAsia="el"/>
        </w:rPr>
      </w:pPr>
      <w:r>
        <w:rPr>
          <w:lang w:val="el" w:eastAsia="el"/>
        </w:rPr>
        <w:t xml:space="preserve">4. Προκειμένου για την καταβολή της οικονομικής ενίσχυσης στις επιχειρήσεις διενεργείται έλεγχος της σώρευσης με βάση τα στοιχεία του Πληροφοριακού Συστήματος Σώρευσης Κρατικών Ενισχύσεων Ήσσονος Σημασίας (ΠΣΣΕΗΣ, </w:t>
      </w:r>
      <w:hyperlink r:id="rId4" w:history="1">
        <w:r>
          <w:rPr>
            <w:rStyle w:val="Hyperlink"/>
            <w:color w:val="0000EE"/>
            <w:u w:color="0000EE"/>
            <w:lang w:val="el" w:eastAsia="el"/>
          </w:rPr>
          <w:t>https://www.sorefsis.gr</w:t>
        </w:r>
      </w:hyperlink>
      <w:r>
        <w:rPr>
          <w:lang w:val="el" w:eastAsia="el"/>
        </w:rPr>
        <w:t>) του Υπουργείου Ανάπτυξης και Επενδύσεων και τα σχετικά στοιχεία που υποβάλει η επιχείρηση, και το ύψος της οικονομικής ενίσχυσης που λαμβάνει βάσει της παρούσας προσαρμόζεται ανάλογα, ώστε να μην οδηγεί σε υπέρβαση των κατά περίπτωση ανωτέρω ορίων των παρ. 2 και 3 του παρόντος άρθρου.</w:t>
      </w:r>
    </w:p>
    <w:p>
      <w:pPr>
        <w:spacing w:before="240" w:after="240"/>
        <w:rPr>
          <w:lang w:val="el" w:eastAsia="el"/>
        </w:rPr>
      </w:pPr>
      <w:r>
        <w:rPr>
          <w:lang w:val="el" w:eastAsia="el"/>
        </w:rPr>
        <w:t>Σε περίπτωση παραγωγού παράστασης, ο οποίος αιτείται για περισσότερες από μια παραγωγές, ο ανωτέρω έλεγχος της σώρευσης πραγματοποιείται για το μοναδικό ΑΦΜ του παραγωγού.</w:t>
      </w:r>
    </w:p>
    <w:p>
      <w:pPr>
        <w:spacing w:before="240" w:after="240"/>
        <w:rPr>
          <w:lang w:val="el" w:eastAsia="el"/>
        </w:rPr>
      </w:pPr>
      <w:r>
        <w:rPr>
          <w:lang w:val="el" w:eastAsia="el"/>
        </w:rPr>
        <w:t>Σε περίπτωση διαχειριστή αίθουσας, ο οποίος διαχειρίζεται παραπάνω από μία κλειστές αίθουσες, ο ανωτέρω έλεγχος της σώρευσης, πραγματοποιείται για το μοναδικό ΑΦΜ του διαχειριστή αίθουσας.</w:t>
      </w:r>
    </w:p>
    <w:p>
      <w:pPr>
        <w:spacing w:before="240" w:after="240"/>
        <w:rPr>
          <w:lang w:val="el" w:eastAsia="el"/>
        </w:rPr>
      </w:pPr>
      <w:r>
        <w:rPr>
          <w:lang w:val="el" w:eastAsia="el"/>
        </w:rPr>
        <w:t>Όταν το ίδιο πρόσωπο είναι και παραγωγός και διαχειριστής αίθουσας, ο ανωτέρω έλεγχος της σώρευσης, πραγματοποιείται για το μοναδικό ΑΦΜ του προσώπου.</w:t>
      </w:r>
    </w:p>
    <w:p>
      <w:pPr>
        <w:spacing w:before="240" w:after="240"/>
        <w:rPr>
          <w:lang w:val="el" w:eastAsia="el"/>
        </w:rPr>
      </w:pPr>
      <w:r>
        <w:rPr>
          <w:lang w:val="el" w:eastAsia="el"/>
        </w:rPr>
        <w:t>5.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3 και 4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κατά περίπτωση όρια.</w:t>
      </w:r>
    </w:p>
    <w:p>
      <w:pPr>
        <w:spacing w:before="240" w:after="240"/>
        <w:rPr>
          <w:lang w:val="el" w:eastAsia="el"/>
        </w:rPr>
      </w:pPr>
      <w:r>
        <w:rPr>
          <w:lang w:val="el" w:eastAsia="el"/>
        </w:rPr>
        <w:t>6.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ήσσονος σημασίας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spacing w:before="240" w:after="240"/>
        <w:rPr>
          <w:lang w:val="el" w:eastAsia="el"/>
        </w:rPr>
      </w:pPr>
      <w:r>
        <w:rPr>
          <w:lang w:val="el" w:eastAsia="el"/>
        </w:rPr>
        <w:t>Γ. Το άρθρο 5 αντικαθίσταται ως ακολούθως:</w:t>
      </w:r>
    </w:p>
    <w:p>
      <w:pPr>
        <w:spacing w:before="240" w:after="240"/>
        <w:rPr>
          <w:lang w:val="el" w:eastAsia="el"/>
        </w:rPr>
      </w:pPr>
      <w:r>
        <w:rPr>
          <w:lang w:val="el" w:eastAsia="el"/>
        </w:rPr>
        <w:t>«Άρθρο 5</w:t>
      </w:r>
    </w:p>
    <w:p>
      <w:pPr>
        <w:spacing w:before="240" w:after="240"/>
        <w:rPr>
          <w:lang w:val="el" w:eastAsia="el"/>
        </w:rPr>
      </w:pPr>
      <w:r>
        <w:rPr>
          <w:lang w:val="el" w:eastAsia="el"/>
        </w:rPr>
        <w:t>Έγκριση της αίτησης της οικονομικής ενίσχυσης</w:t>
      </w:r>
    </w:p>
    <w:p>
      <w:pPr>
        <w:spacing w:before="240" w:after="240"/>
        <w:rPr>
          <w:lang w:val="el" w:eastAsia="el"/>
        </w:rPr>
      </w:pPr>
      <w:r>
        <w:rPr>
          <w:lang w:val="el" w:eastAsia="el"/>
        </w:rPr>
        <w:t>Μετά την υποβολή της αίτησης/σεων υπαγωγής από τις επιχειρήσεις και της συμπληρωματικής αίτησης του άρθρου 6, τη διασταύρωση των φορολογικών στοιχείων από την ΑΑΔΕ, τον έλεγχο των επισυναπτόμενων δικαιολογητικών και τον έλεγχο σώρευσης, οι δικαιούχοι ενημερώνονται για την έγκριση ή την απόρριψη της αίτησης».</w:t>
      </w:r>
    </w:p>
    <w:p>
      <w:pPr>
        <w:spacing w:before="240" w:after="240"/>
        <w:rPr>
          <w:lang w:val="el" w:eastAsia="el"/>
        </w:rPr>
      </w:pPr>
      <w:r>
        <w:rPr>
          <w:lang w:val="el" w:eastAsia="el"/>
        </w:rPr>
        <w:t>Δ. Το άρθρο 6 αντικαθίσταται ως ακολούθως:</w:t>
      </w:r>
    </w:p>
    <w:p>
      <w:pPr>
        <w:spacing w:before="240" w:after="240"/>
        <w:rPr>
          <w:lang w:val="el" w:eastAsia="el"/>
        </w:rPr>
      </w:pPr>
      <w:r>
        <w:rPr>
          <w:lang w:val="el" w:eastAsia="el"/>
        </w:rPr>
        <w:t>«Άρθρο 6</w:t>
      </w:r>
    </w:p>
    <w:p>
      <w:pPr>
        <w:spacing w:before="240" w:after="240"/>
        <w:rPr>
          <w:lang w:val="el" w:eastAsia="el"/>
        </w:rPr>
      </w:pPr>
      <w:r>
        <w:rPr>
          <w:lang w:val="el" w:eastAsia="el"/>
        </w:rPr>
        <w:t>Διαδικασία καταβολής της οικονομικής ενίσχυσης</w:t>
      </w:r>
    </w:p>
    <w:p>
      <w:pPr>
        <w:spacing w:before="240" w:after="240"/>
        <w:rPr>
          <w:lang w:val="el" w:eastAsia="el"/>
        </w:rPr>
      </w:pPr>
      <w:r>
        <w:rPr>
          <w:lang w:val="el" w:eastAsia="el"/>
        </w:rPr>
        <w:t>1. Πέραν της αίτησης των επιχειρήσεων υπαγωγής στην οικονομική ενίσχυση κατά τα οριζόμενα στα άρθρα 3 και 4 της παρούσας κατά περίπτωση, οι επιχειρήσεις υποβάλλουν υποχρεωτικά ηλεκτρονικά συμπληρωματική αίτηση/υπεύθυνη δήλωση σύμφωνα με το παράρτημα ΙΙΙ, στην ειδική πλατφόρμα stirizoumetonpolitismo. services.gov.gr, που τηρείται στο ΠΣ ΕΡΓΑΝΗ του Υπουργείου Εργασίας και Κοινωνικών Υποθέσεων.</w:t>
      </w:r>
    </w:p>
    <w:p>
      <w:pPr>
        <w:spacing w:before="240" w:after="240"/>
        <w:rPr>
          <w:lang w:val="el" w:eastAsia="el"/>
        </w:rPr>
      </w:pPr>
      <w:r>
        <w:rPr>
          <w:lang w:val="el" w:eastAsia="el"/>
        </w:rPr>
        <w:t>Με την ανωτέρω συμπληρωματική αίτηση/υπεύθυνη δήλωση, η επιχείρηση δηλώνει, το αν αιτείται να λάβει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spacing w:before="240" w:after="240"/>
        <w:rPr>
          <w:lang w:val="el" w:eastAsia="el"/>
        </w:rPr>
      </w:pPr>
      <w:r>
        <w:rPr>
          <w:lang w:val="el" w:eastAsia="el"/>
        </w:rPr>
        <w:t>Η επιχείρηση υποβάλει μία συμπληρωματική αίτηση/ υπεύθυνη δήλωση ανεξαρτήτως του αριθμού των υπεύθυνων δηλώσεων που υποβάλει είτε ως παραγωγός, είτε ως ιδιοκτήτης θεάτρου, μουσικής σκηνής, χοροθεάτρου, συναυλιακού χώρου, χώρου παραστάσεων επιλέγοντας ένα νομικό πλαίσιο χορήγησης της ενίσχυσης, σύμφωνα με τα ανωτέρω.</w:t>
      </w:r>
    </w:p>
    <w:p>
      <w:pPr>
        <w:spacing w:before="240" w:after="240"/>
        <w:rPr>
          <w:lang w:val="el" w:eastAsia="el"/>
        </w:rPr>
      </w:pPr>
      <w:r>
        <w:rPr>
          <w:lang w:val="el" w:eastAsia="el"/>
        </w:rPr>
        <w:t>2. Η οικονομική ενίσχυση των επιχειρήσεων του άρθρου 1 της παρούσας καταβάλλεται στους δικαιούχους σύμφωνα με το άρθρο 2 της παρούσας από το Υπουργείο Εργασίας και Κοινωνικών Υποθέσεων.».</w:t>
      </w:r>
    </w:p>
    <w:p>
      <w:pPr>
        <w:spacing w:before="240" w:after="240"/>
        <w:rPr>
          <w:lang w:val="el" w:eastAsia="el"/>
        </w:rPr>
      </w:pPr>
      <w:r>
        <w:rPr>
          <w:lang w:val="el" w:eastAsia="el"/>
        </w:rPr>
        <w:t>Ε. Στο άρθρο 7 προστίθενται παράγραφοι 3, 4 και 5 ως εξής:</w:t>
      </w:r>
    </w:p>
    <w:p>
      <w:pPr>
        <w:spacing w:before="240" w:after="240"/>
        <w:rPr>
          <w:lang w:val="el" w:eastAsia="el"/>
        </w:rPr>
      </w:pPr>
      <w:r>
        <w:rPr>
          <w:lang w:val="el" w:eastAsia="el"/>
        </w:rPr>
        <w:t>«3. Εφόσον η επιχείρηση ενισχύεται βάσει του Προσωρινού Πλαισίου, οφείλει να υποβάλει, στην ηλεκτρονική πλατφόρμα μέσω της ενιαίας Ψηφιακής Πύλης της Δημόσιας Διοίκησης (gov.gr - Ε.Ψ.Π.) που τηρείται στο ΠΣ ΕΡΓΑ- ΝΗ, μέχρι την 30ή Ιουνίου 2021 τα εξής δικαιολογητικά:</w:t>
      </w:r>
    </w:p>
    <w:p>
      <w:pPr>
        <w:spacing w:before="240" w:after="240"/>
        <w:rPr>
          <w:lang w:val="el" w:eastAsia="el"/>
        </w:rPr>
      </w:pPr>
      <w:r>
        <w:rPr>
          <w:lang w:val="el" w:eastAsia="el"/>
        </w:rPr>
        <w:t>α. Υπεύθυνη δήλωση του λογιστή της επιχείρησης που να βεβαιώνει ότι η επιχείρηση την 31.12.2019 (ανάλογα με τη νομική μορφή και το είδος των βιβλίων της επιχείρησης) δεν ήταν προβληματική σύμφωνα με τον ορισμό του σημείου 18 του άρθρου 2 του Κανονισμού (ΕΕ) 651/2014:</w:t>
      </w:r>
    </w:p>
    <w:p>
      <w:pPr>
        <w:spacing w:before="240" w:after="240"/>
        <w:rPr>
          <w:lang w:val="el" w:eastAsia="el"/>
        </w:rPr>
      </w:pPr>
      <w:r>
        <w:rPr>
          <w:lang w:val="el" w:eastAsia="el"/>
        </w:rPr>
        <w:t>i. είτε δεν έχει απωλέσει πάνω από το ήμισυ του εγγεγραμμένου της κεφαλαίου λόγω συσσωρευμένων ζημιών,</w:t>
      </w:r>
    </w:p>
    <w:p>
      <w:pPr>
        <w:spacing w:before="240" w:after="240"/>
        <w:rPr>
          <w:lang w:val="el" w:eastAsia="el"/>
        </w:rPr>
      </w:pPr>
      <w:r>
        <w:rPr>
          <w:lang w:val="el" w:eastAsia="el"/>
        </w:rPr>
        <w:t>ii. είτε δεν έχει απωλέσει πάνω του κεφαλαίου της, όπως εμφαίνεται στους λογαριασμούς της επιχείρησης,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μικρών και πολύ μικρών επιχειρήσεων.</w:t>
      </w:r>
    </w:p>
    <w:p>
      <w:pPr>
        <w:spacing w:before="240" w:after="240"/>
        <w:rPr>
          <w:lang w:val="el" w:eastAsia="el"/>
        </w:rPr>
      </w:pPr>
      <w:r>
        <w:rPr>
          <w:lang w:val="el" w:eastAsia="el"/>
        </w:rPr>
        <w:t>iii. Επιπλέον, εάν πρόκειται για μεγάλη επιχείρηση, να βεβαιώνει ότι τα δύο τελευταία έτη: ο δείκτης χρέους προς ίδια ίδια κεφάλαια της επιχείρησης δεν ήταν ψηλότερος του 7,5 και ο δείκτης κάλυψης χρηματοικονομικών υποχρεώσεων της επιχείρησης (ΕΒΙTDA interest coverage ratio) δεν ήταν κάτω του 1.0.</w:t>
      </w:r>
    </w:p>
    <w:p>
      <w:pPr>
        <w:spacing w:before="240" w:after="240"/>
        <w:rPr>
          <w:lang w:val="el" w:eastAsia="el"/>
        </w:rPr>
      </w:pPr>
      <w:r>
        <w:rPr>
          <w:lang w:val="el" w:eastAsia="el"/>
        </w:rPr>
        <w:t>β.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w:t>
      </w:r>
    </w:p>
    <w:p>
      <w:pPr>
        <w:spacing w:before="240" w:after="240"/>
        <w:rPr>
          <w:lang w:val="el" w:eastAsia="el"/>
        </w:rPr>
      </w:pPr>
      <w:r>
        <w:rPr>
          <w:lang w:val="el" w:eastAsia="el"/>
        </w:rPr>
        <w:t>4. Σε περίπτωση που κατά τον έλεγχο της επιχείρησης από το αρμόδιο όργανο ελέγχου διαπιστωθεί μη τήρηση των όρων της παρούσας, υπέρβαση του ανώτατου ορίου της οικονομικής ενίσχυσης βάσει του Προσωρινού Πλαισίου ή βάσει του Κανονισμού de minimis, ή υποβολή ψευδών στοιχείων, η χορηγηθείσα ενίσχυση αναζητείται κατά τα οριζόμενα στις κείμενες διατάξεις και στο άρθρο 9 της παρούσας.</w:t>
      </w:r>
    </w:p>
    <w:p>
      <w:pPr>
        <w:spacing w:before="240" w:after="240"/>
        <w:rPr>
          <w:lang w:val="el" w:eastAsia="el"/>
        </w:rPr>
      </w:pPr>
      <w:r>
        <w:rPr>
          <w:lang w:val="el" w:eastAsia="el"/>
        </w:rPr>
        <w:t>5.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οικονομικής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ΣΤ . Στην παράγραφο 2 του άρθρου 9 προστίθεται δεύτερο εδάφιο ως εξής:</w:t>
      </w:r>
    </w:p>
    <w:p>
      <w:pPr>
        <w:spacing w:before="240" w:after="240"/>
        <w:rPr>
          <w:lang w:val="el" w:eastAsia="el"/>
        </w:rPr>
      </w:pPr>
      <w:r>
        <w:rPr>
          <w:lang w:val="el" w:eastAsia="el"/>
        </w:rPr>
        <w:t>«Τα καταβληθέντα ποσά αναζητούνται εντόκως από την ημερομηνία καταβολής τους και έως την επιστροφή τους, με βάση το επιτόκιο αναφοράς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lang w:val="el" w:eastAsia="el"/>
        </w:rPr>
        <w:t>Ζ. Προστίθεται άρθρο 10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Υποχρέωση διαφάνειας -</w:t>
      </w:r>
    </w:p>
    <w:p>
      <w:pPr>
        <w:spacing w:before="240" w:after="240"/>
        <w:rPr>
          <w:lang w:val="el" w:eastAsia="el"/>
        </w:rPr>
      </w:pPr>
      <w:r>
        <w:rPr>
          <w:lang w:val="el" w:eastAsia="el"/>
        </w:rPr>
        <w:t>Τήρηση αρχείου - Υποβολή εκθέσεων</w:t>
      </w:r>
    </w:p>
    <w:p>
      <w:pPr>
        <w:spacing w:before="240" w:after="240"/>
        <w:rPr>
          <w:lang w:val="el" w:eastAsia="el"/>
        </w:rPr>
      </w:pPr>
      <w:r>
        <w:rPr>
          <w:lang w:val="el" w:eastAsia="el"/>
        </w:rPr>
        <w:t>1. Το Υπουργείο Εργασίας και Κοινωνικών Υποθέσεων στο πλαίσιο των αρμοδιοτήτων του, αναλαμβάνει την υποχρέωση της συγκέντρωσης των δικαιολογητικών υλοποίησης της δράσης και της τήρησης όλων των παραστατικών, της επιβεβαίωσης τήρησης των υποχρεώσεων των δικαιούχων της οικονομικής ενίσχυσης, αποκλειστικά και μόνο στη βάση παραστατικών και εγγράφων που της έχουν υποβληθεί από αρμόδιους φορείς, και τηρεί λεπτομερή αρχεία για τουλάχιστον δέκα (10) έτη από την ημερομηνία χορήγησης των ενισχύσεων, από τα οποία αποδεικνύεται ότι τηρήθηκαν οι απαιτούμενες, εκ της παρούσας, προϋποθέσεις για την χορήγηση της οικονομικής ενίσχυσης.</w:t>
      </w:r>
    </w:p>
    <w:p>
      <w:pPr>
        <w:spacing w:before="240" w:after="240"/>
        <w:rPr>
          <w:lang w:val="el" w:eastAsia="el"/>
        </w:rPr>
      </w:pPr>
      <w:r>
        <w:rPr>
          <w:lang w:val="el" w:eastAsia="el"/>
        </w:rPr>
        <w:t>2. Οι οικονομικές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 χορήγησή τους, σύμφωνα με τα οριζόμενα στο σημείο 88 του Προσωρινού Πλαισίου και στην υποπαρ. Β11 της παρ. Β’ του άρθρου α’ του ν. 4152/2013 (Α’ 107).</w:t>
      </w:r>
    </w:p>
    <w:p>
      <w:pPr>
        <w:spacing w:before="240" w:after="240"/>
        <w:rPr>
          <w:lang w:val="el" w:eastAsia="el"/>
        </w:rPr>
      </w:pPr>
      <w:r>
        <w:rPr>
          <w:lang w:val="el" w:eastAsia="el"/>
        </w:rPr>
        <w:t>3. Με τη λήψη της οικονομικής ενίσχυσης τεκμαίρεται η συναίνεση του δικαιούχου - λήπτη της ενίσχυσης για τη δημοσιοποίηση των στοιχείων για την οικονομική ενίσχυση που έλαβε.</w:t>
      </w:r>
    </w:p>
    <w:p>
      <w:pPr>
        <w:spacing w:before="240" w:after="240"/>
        <w:rPr>
          <w:lang w:val="el" w:eastAsia="el"/>
        </w:rPr>
      </w:pPr>
      <w:r>
        <w:rPr>
          <w:lang w:val="el" w:eastAsia="el"/>
        </w:rPr>
        <w:t>4. Το τμήμα Κρατικών Ενισχύσεων του Υπουργείου Εργασίας και Κοινωνικών Υποθέσεων μεριμνά για την ανάρτηση των ενισχύσεων που χορηγούνται βάσει του Προσωρινού Πλαισίου στο ΤΑΜ, καθώς και για την υποβολή των ετήσιων εκθέσεων στην Ευρωπαϊκή Επιτροπή κατά τα προβλεπόμενα στο σημείο 89 του Προσωρινού Πλαισίου».</w:t>
      </w:r>
    </w:p>
    <w:p>
      <w:pPr>
        <w:spacing w:before="240" w:after="240"/>
        <w:rPr>
          <w:lang w:val="el" w:eastAsia="el"/>
        </w:rPr>
      </w:pPr>
      <w:r>
        <w:rPr>
          <w:lang w:val="el" w:eastAsia="el"/>
        </w:rPr>
        <w:t>Η. Κατά τα λοιπά ισχύει η υπ’ αρ. οικ. 5774/203/ 5-2-2021 (Β’ 457) κοινή απόφαση των Υπουργών Οικονομικών, Εργασίας και Κοινωνικών Υποθέσεων, Πολιτισμού και Αθλητισμού και Επικρατείας.</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ΣΥΜΠΛΗΡΩΜΑΤΙΚΗ ΑΙΤΗΣΗ/ΥΠΕΥΘΥΝΗ ΔΗΛΩΣΗ</w:t>
      </w:r>
    </w:p>
    <w:p>
      <w:pPr>
        <w:spacing w:before="240" w:after="240"/>
        <w:rPr>
          <w:lang w:val="el" w:eastAsia="el"/>
        </w:rPr>
      </w:pPr>
      <w:r>
        <w:rPr>
          <w:b/>
          <w:bCs/>
          <w:lang w:val="el" w:eastAsia="el"/>
        </w:rPr>
        <w:t>ΣΥΜΠΛΗΡΩΜΑΤΙΚΗ ΑΙΤΗΣΗ/ΥΠΕΥΘΥΝΗ ΔΗΛΩΣΗ ΕΠΙΧΕΙΡΗΣΕΩΝ ΘΕΤΑΡΩΝ, ΜΟΥΣΙΚΩΝ ΣΚΗΝΩΝ</w:t>
      </w:r>
    </w:p>
    <w:p>
      <w:pPr>
        <w:spacing w:before="240" w:after="240"/>
        <w:rPr>
          <w:lang w:val="el" w:eastAsia="el"/>
        </w:rPr>
      </w:pPr>
      <w:r>
        <w:rPr>
          <w:b/>
          <w:bCs/>
          <w:lang w:val="el" w:eastAsia="el"/>
        </w:rPr>
        <w:t xml:space="preserve">,ΧΟΡΟΘΕΑΤΡΩΝ, </w:t>
      </w:r>
    </w:p>
    <w:p>
      <w:pPr>
        <w:spacing w:before="240" w:after="240"/>
        <w:rPr>
          <w:lang w:val="el" w:eastAsia="el"/>
        </w:rPr>
      </w:pPr>
      <w:r>
        <w:rPr>
          <w:b/>
          <w:bCs/>
          <w:lang w:val="el" w:eastAsia="el"/>
        </w:rPr>
        <w:t>ΣΥΝΑΥΛΙΑΚΩΝ ΧΩΡΩΝ ΚΑΙ ΧΩΡΩΝ ΠΑΡΑΣΤΑΣΕΩΝ ΕΝΤΑΞΗΣ ΣΤΗΝ ΟΙΚΟΝΟΜΙΚΗΕΝΙΣΧΥΣΗ ΤΟΥ ΠΟΛΙΤΙΣΜΟΥ ΤΟΥ ΑΡΘΡΟΥ 70 ΤΟΥ Ν. 4745/2020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12"/>
        <w:gridCol w:w="764"/>
        <w:gridCol w:w="286"/>
        <w:gridCol w:w="748"/>
        <w:gridCol w:w="286"/>
        <w:gridCol w:w="257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ΠΡΟΣΩΠΟ/ΝΟΜΙΚΟ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ΔΙΑΚΡΙΤΙΚΟΣ </w:t>
            </w:r>
            <w:r>
              <w:rPr>
                <w:b w:val="0"/>
                <w:bCs w:val="0"/>
                <w:i/>
                <w:iCs/>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ΔΙΑΧΕΙΡΙΣΤΗΣ/</w:t>
            </w:r>
          </w:p>
          <w:p>
            <w:pPr>
              <w:spacing w:before="240"/>
              <w:rPr>
                <w:b w:val="0"/>
                <w:bCs w:val="0"/>
                <w:i w:val="0"/>
                <w:iCs w:val="0"/>
                <w:smallCaps w:val="0"/>
                <w:color w:val="000000"/>
                <w:lang w:val="el" w:eastAsia="el"/>
              </w:rPr>
            </w:pPr>
            <w:r>
              <w:rPr>
                <w:b w:val="0"/>
                <w:bCs w:val="0"/>
                <w:i w:val="0"/>
                <w:iCs w:val="0"/>
                <w:smallCaps w:val="0"/>
                <w:color w:val="000000"/>
                <w:lang w:val="el" w:eastAsia="el"/>
              </w:rPr>
              <w:t>ΔΙΕΥΘΥΝΩΝ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5"/>
        <w:gridCol w:w="287"/>
        <w:gridCol w:w="90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ΝΟΜΙΜΟΣ ΕΚΠΡΟΣΩΠΟΣ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ΠΕΡΙΕΧΟΜΕΝΟ ΔΗΛΩΣΗΣ</w:t>
      </w:r>
    </w:p>
    <w:p>
      <w:pPr>
        <w:spacing w:before="240" w:after="240"/>
        <w:rPr>
          <w:lang w:val="el" w:eastAsia="el"/>
        </w:rPr>
      </w:pPr>
      <w:r>
        <w:rPr>
          <w:lang w:val="el" w:eastAsia="el"/>
        </w:rPr>
        <w:t>Γνωρίζοντας τις κυρώσεις, που προβλέπονται από τις διατάξεις της παρ. 6 του άρθρου 22 του Ν. 1599/1986</w:t>
      </w:r>
      <w:r>
        <w:rPr>
          <w:sz w:val="30"/>
          <w:szCs w:val="30"/>
          <w:vertAlign w:val="superscript"/>
          <w:lang w:val="el" w:eastAsia="el"/>
        </w:rPr>
        <w:t>1</w:t>
      </w:r>
      <w:r>
        <w:rPr>
          <w:lang w:val="el" w:eastAsia="el"/>
        </w:rPr>
        <w:t>, με την παρούσα ΔΗΛΩΝΩ ΥΠΕΥΘΥΝΑ τα κάτωθι:</w:t>
      </w:r>
    </w:p>
    <w:p>
      <w:pPr>
        <w:spacing w:before="240" w:after="240"/>
        <w:rPr>
          <w:lang w:val="el" w:eastAsia="el"/>
        </w:rPr>
      </w:pPr>
      <w:r>
        <w:rPr>
          <w:b/>
          <w:bCs/>
          <w:lang w:val="el" w:eastAsia="el"/>
        </w:rPr>
        <w:t>1. Με βάση τον ορισμό του Παραρτήματος Ι του Κανονισμού (ΕΕ) 651/2014</w:t>
      </w:r>
      <w:r>
        <w:rPr>
          <w:b/>
          <w:bCs/>
          <w:sz w:val="30"/>
          <w:szCs w:val="30"/>
          <w:vertAlign w:val="superscript"/>
          <w:lang w:val="el" w:eastAsia="el"/>
        </w:rPr>
        <w:t>2</w:t>
      </w:r>
      <w:r>
        <w:rPr>
          <w:b/>
          <w:bCs/>
          <w:lang w:val="el" w:eastAsia="el"/>
        </w:rPr>
        <w:t>, η επιχείρηση είναι:</w:t>
      </w:r>
    </w:p>
    <w:p>
      <w:pPr>
        <w:spacing w:before="240" w:after="240"/>
        <w:rPr>
          <w:lang w:val="el" w:eastAsia="el"/>
        </w:rPr>
      </w:pPr>
      <w:r>
        <w:rPr>
          <w:lang w:val="el" w:eastAsia="el"/>
        </w:rPr>
        <w:t>Πολύ μικρή</w:t>
      </w:r>
    </w:p>
    <w:p>
      <w:pPr>
        <w:spacing w:before="240" w:after="240"/>
        <w:rPr>
          <w:lang w:val="el" w:eastAsia="el"/>
        </w:rPr>
      </w:pPr>
      <w:r>
        <w:rPr>
          <w:lang w:val="el" w:eastAsia="el"/>
        </w:rPr>
        <w:t>Μικρή</w:t>
      </w:r>
    </w:p>
    <w:p>
      <w:pPr>
        <w:spacing w:before="240" w:after="240"/>
        <w:rPr>
          <w:lang w:val="el" w:eastAsia="el"/>
        </w:rPr>
      </w:pPr>
      <w:r>
        <w:rPr>
          <w:lang w:val="el" w:eastAsia="el"/>
        </w:rPr>
        <w:t>Μεσαία</w:t>
      </w:r>
    </w:p>
    <w:p>
      <w:pPr>
        <w:spacing w:before="240" w:after="240"/>
        <w:rPr>
          <w:lang w:val="el" w:eastAsia="el"/>
        </w:rPr>
      </w:pPr>
      <w:r>
        <w:rPr>
          <w:lang w:val="el" w:eastAsia="el"/>
        </w:rPr>
        <w:t>Μεγάλη</w:t>
      </w:r>
    </w:p>
    <w:p>
      <w:pPr>
        <w:spacing w:before="240" w:after="240"/>
        <w:rPr>
          <w:lang w:val="el" w:eastAsia="el"/>
        </w:rPr>
      </w:pPr>
      <w:r>
        <w:rPr>
          <w:b/>
          <w:bCs/>
          <w:lang w:val="el" w:eastAsia="el"/>
        </w:rPr>
        <w:t>2α. Αιτείται να λάβει την οικονομική ενίσχυση και να υπαχθεί στο Προσωρινό Πλαίσιο (ΠΠ)</w:t>
      </w:r>
    </w:p>
    <w:p>
      <w:pPr>
        <w:spacing w:before="240" w:after="240"/>
        <w:rPr>
          <w:lang w:val="el" w:eastAsia="el"/>
        </w:rPr>
      </w:pPr>
      <w:r>
        <w:rPr>
          <w:lang w:val="el" w:eastAsia="el"/>
        </w:rPr>
        <w:t>και</w:t>
      </w:r>
    </w:p>
    <w:p>
      <w:pPr>
        <w:spacing w:before="240" w:after="240"/>
        <w:rPr>
          <w:lang w:val="el" w:eastAsia="el"/>
        </w:rPr>
      </w:pPr>
      <w:r>
        <w:rPr>
          <w:lang w:val="el" w:eastAsia="el"/>
        </w:rPr>
        <w:t>i. ότι σε επίπεδο ενιαίας επιχείρησης</w:t>
      </w:r>
      <w:r>
        <w:rPr>
          <w:sz w:val="30"/>
          <w:szCs w:val="30"/>
          <w:vertAlign w:val="superscript"/>
          <w:lang w:val="el" w:eastAsia="el"/>
        </w:rPr>
        <w:t>3</w:t>
      </w:r>
      <w:r>
        <w:rPr>
          <w:lang w:val="el" w:eastAsia="el"/>
        </w:rPr>
        <w:t xml:space="preserve"> δεν έχει λάβει ενίσχυση που έχει κριθεί παράνομη και ασυμβίβαστη με βάση προηγούμενη, σε επίπεδο απόφαση της Ευρωπαϊκής Επιτροπής ή του Δ.Ε.Ε.,</w:t>
      </w:r>
    </w:p>
    <w:p>
      <w:pPr>
        <w:spacing w:before="240" w:after="240"/>
        <w:rPr>
          <w:lang w:val="el" w:eastAsia="el"/>
        </w:rPr>
      </w:pPr>
      <w:r>
        <w:rPr>
          <w:lang w:val="el" w:eastAsia="el"/>
        </w:rPr>
        <w:t>ii. θα λάβει οικονομική ενίσχυση, η οποία αθροιζόμενη με οποιαδήποτε άλλη ενίσχυση που έχει λάβει βάσει του τμήματος 3.1 του Προσωρινού Πλαισίου (ΠΠ) από οποιαδήποτε πηγή σε επίπεδο ενιαίας επιχείρησης δεν υπερβαίνει το ποσό του ενός εκατομμυρίου οκτακοσίων χιλιάδων ευρώ (1.800.000,00€) συμπεριλαμβανομένων κάθε μορφής φόρων και λοιπών επιβαρύνσεων,</w:t>
      </w:r>
    </w:p>
    <w:p>
      <w:pPr>
        <w:spacing w:before="240" w:after="240"/>
        <w:rPr>
          <w:lang w:val="el" w:eastAsia="el"/>
        </w:rPr>
      </w:pPr>
      <w:r>
        <w:rPr>
          <w:lang w:val="el" w:eastAsia="el"/>
        </w:rPr>
        <w:t>iii. δεν ήταν προβληματική στις 31/12/2019, σύμφωνα με τον ορισμό του σημείου 18 του άρθρου 2 του Κανονισμού (ΕΕ) 651/2014, σε επίπεδο αιτούσας καθώς και σε επίπεδο ενιαίας επιχείρησης κατά την έννοια του παραρτήματος Ι του Κανονισμού (ΕΕ) 651/2014 ή εάν πρόκειται για μικρή/πολύ μικρή επιχείρηση, ακόμα και αν ήταν ήδη προβληματική στις 31/12/2019, δεν υπάγεται σε συλλογική διαδικασία αφερεγγυότητας</w:t>
      </w:r>
      <w:r>
        <w:rPr>
          <w:sz w:val="30"/>
          <w:szCs w:val="30"/>
          <w:vertAlign w:val="superscript"/>
          <w:lang w:val="el" w:eastAsia="el"/>
        </w:rPr>
        <w:t>4</w:t>
      </w:r>
      <w:r>
        <w:rPr>
          <w:lang w:val="el" w:eastAsia="el"/>
        </w:rPr>
        <w:t xml:space="preserve"> και δεν έχει λάβει ενίσχυση διάσωσης ή αναδιάρθρωσης</w:t>
      </w:r>
    </w:p>
    <w:p>
      <w:pPr>
        <w:spacing w:before="240" w:after="240"/>
        <w:rPr>
          <w:lang w:val="el" w:eastAsia="el"/>
        </w:rPr>
      </w:pPr>
      <w:r>
        <w:rPr>
          <w:lang w:val="el" w:eastAsia="el"/>
        </w:rPr>
        <w:t>iv. Ότι 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 τμήμα 3.1 του ΠΠ,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b/>
          <w:bCs/>
          <w:lang w:val="el" w:eastAsia="el"/>
        </w:rPr>
        <w:t>2β. Αιτείται να λάβει την ενίσχυση και να υπαχθεί στον Καν. 1407/2013 (De minimis)</w:t>
      </w:r>
    </w:p>
    <w:p>
      <w:pPr>
        <w:spacing w:before="240" w:after="240"/>
        <w:rPr>
          <w:lang w:val="el" w:eastAsia="el"/>
        </w:rPr>
      </w:pPr>
      <w:r>
        <w:rPr>
          <w:lang w:val="el" w:eastAsia="el"/>
        </w:rPr>
        <w:t>και</w:t>
      </w:r>
    </w:p>
    <w:p>
      <w:pPr>
        <w:spacing w:before="240" w:after="240"/>
        <w:rPr>
          <w:lang w:val="el" w:eastAsia="el"/>
        </w:rPr>
      </w:pPr>
      <w:r>
        <w:rPr>
          <w:lang w:val="el" w:eastAsia="el"/>
        </w:rPr>
        <w:t>i. θα λάβει οικονομική ενίσχυση, η οποία αθροιζόμενη με οποιαδήποτε άλλη ενίσχυση ήσσονος σημασίας που έχει λάβει κατά την τριετία 2019-2021, από οποιοδήποτε πρόγραμμα, σε επίπεδο ενιαίας επιχείρησης, δεν υπερβαίνει το ποσό των διακοσίων χιλιάδων ευρώ (200.000 €),</w:t>
      </w:r>
    </w:p>
    <w:p>
      <w:pPr>
        <w:spacing w:before="240" w:after="240"/>
        <w:rPr>
          <w:lang w:val="el" w:eastAsia="el"/>
        </w:rPr>
      </w:pPr>
      <w:r>
        <w:rPr>
          <w:lang w:val="el" w:eastAsia="el"/>
        </w:rPr>
        <w:t>ii. ότι 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τον Καν. De minimis,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iii. ότι σε περίπτωση που δραστηριοποιείται σε κάποιον από τους μη επιλέξιμους για ενίσχυση τομείς και επίσης σε τομέα επιλέξιμογια ενίσχυση βάσει του Καν.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lang w:val="el" w:eastAsia="el"/>
        </w:rPr>
        <w:t xml:space="preserve">3. </w:t>
      </w:r>
      <w:r>
        <w:rPr>
          <w:b/>
          <w:bCs/>
          <w:lang w:val="el" w:eastAsia="el"/>
        </w:rPr>
        <w:t>Όλες οι επιχειρήσεις με τις οποίες η επιχείρηση συνιστά ενιαία επιχείρηση (εφόσον υπάρχουν) είναι οι ακόλουθες: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4α. Στην περίπτωση που αιτείται να λάβει την οικονομική ενίσχυση δυνάμει του Προσωρινού Πλαισίου, δηλώνει τις ενισχύσεις που έχει λάβει η επιχείρηση βάσει του ΠΠ, σε επίπεδο ενιαίας επιχείρησης,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0"/>
        <w:gridCol w:w="886"/>
        <w:gridCol w:w="886"/>
        <w:gridCol w:w="1198"/>
        <w:gridCol w:w="917"/>
        <w:gridCol w:w="883"/>
        <w:gridCol w:w="883"/>
        <w:gridCol w:w="854"/>
        <w:gridCol w:w="994"/>
        <w:gridCol w:w="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ΟΝΟΜΑΣΙΑ </w:t>
            </w:r>
            <w:r>
              <w:rPr>
                <w:b w:val="0"/>
                <w:bCs w:val="0"/>
                <w:i w:val="0"/>
                <w:iCs w:val="0"/>
                <w:smallCaps w:val="0"/>
                <w:color w:val="000000"/>
                <w:lang w:val="el" w:eastAsia="el"/>
              </w:rPr>
              <w:t>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 ΠΡΩΤ.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ΕΓΚΡΙΟΕΝ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ΚΑΤΑΒΛΗΟΕΝ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ΕΓΚΡΙΟΕΝ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4β. Στην περίπτωση που αιτείται να λάβει την οικονομική ενίσχυση δυνάμει Κανονισμού ήσσονος σημασίας (De minimis) για τη τριετία 2019-2021, δηλώνει τις ενισχύσεις που έχει λάβει η επιχείρηση σε επίπεδο ενιαίας επιχείρησης,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0"/>
        <w:gridCol w:w="886"/>
        <w:gridCol w:w="886"/>
        <w:gridCol w:w="1198"/>
        <w:gridCol w:w="917"/>
        <w:gridCol w:w="883"/>
        <w:gridCol w:w="883"/>
        <w:gridCol w:w="854"/>
        <w:gridCol w:w="994"/>
        <w:gridCol w:w="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ΑΦΜ </w:t>
            </w:r>
            <w:r>
              <w:rPr>
                <w:b w:val="0"/>
                <w:bCs w:val="0"/>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 ΠΡΩΤ.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ΕΓΚΡΙΟΕΝ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ΚΑΤΑΒΛΗΟΕΝ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ΗΜ/ΝΑ </w:t>
            </w:r>
            <w:r>
              <w:rPr>
                <w:b w:val="0"/>
                <w:bCs w:val="0"/>
                <w:i w:val="0"/>
                <w:iCs w:val="0"/>
                <w:smallCaps w:val="0"/>
                <w:color w:val="000000"/>
                <w:lang w:val="el" w:eastAsia="el"/>
              </w:rPr>
              <w:t>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ΣΥΝΟΛΙΚΟ </w:t>
            </w:r>
            <w:r>
              <w:rPr>
                <w:b w:val="0"/>
                <w:bCs w:val="0"/>
                <w:i w:val="0"/>
                <w:iCs w:val="0"/>
                <w:smallCaps w:val="0"/>
                <w:color w:val="000000"/>
                <w:lang w:val="el" w:eastAsia="el"/>
              </w:rPr>
              <w:t>ΕΓΚΡΙΟΕΝ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^Οποιος εν γνώσει του δηλώνει ψευδή γεγονότα ή αρνεΐται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2</w:t>
      </w:r>
      <w:r>
        <w:rPr>
          <w:lang w:val="el" w:eastAsia="el"/>
        </w:rPr>
        <w:t xml:space="preserve">Ως </w:t>
      </w:r>
      <w:r>
        <w:rPr>
          <w:b/>
          <w:bCs/>
          <w:lang w:val="el" w:eastAsia="el"/>
        </w:rPr>
        <w:t xml:space="preserve">μεσαία </w:t>
      </w:r>
      <w:r>
        <w:rPr>
          <w:lang w:val="el" w:eastAsia="el"/>
        </w:rPr>
        <w:t xml:space="preserve">επιχείρηση ορίζεται η επιχείρηση η οποία απασχολεί λιγότερους από 250 εργαζομένους και της οποίας ετήσιος κύκλος εργασιών δεν υπερβαίνει τα 50 εκατ. ευρώ και/ή το σύνολο του ετήσιου ισολογισμού δεν υπερβαίνει τα 43 εκατ. ευρώ. </w:t>
      </w:r>
      <w:r>
        <w:rPr>
          <w:b/>
          <w:bCs/>
          <w:lang w:val="el" w:eastAsia="el"/>
        </w:rPr>
        <w:t xml:space="preserve">Ως μικρή επιχείρηση </w:t>
      </w:r>
    </w:p>
    <w:p>
      <w:pPr>
        <w:spacing w:before="240" w:after="240"/>
        <w:rPr>
          <w:lang w:val="el" w:eastAsia="el"/>
        </w:rPr>
      </w:pPr>
      <w:r>
        <w:rPr>
          <w:lang w:val="el" w:eastAsia="el"/>
        </w:rPr>
        <w:t xml:space="preserve">ορίζεται η επιχείρηση ηοποία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 </w:t>
      </w:r>
      <w:r>
        <w:rPr>
          <w:b/>
          <w:bCs/>
          <w:lang w:val="el" w:eastAsia="el"/>
        </w:rPr>
        <w:t xml:space="preserve">Ως πολύ μικρή </w:t>
      </w:r>
      <w:r>
        <w:rPr>
          <w:lang w:val="el" w:eastAsia="el"/>
        </w:rPr>
        <w:t>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 Οι επιχειρήσεις που δεν πληρούν τα ανωτέρω κριτήρια Θεωρούνται μεγάλες.</w:t>
      </w:r>
    </w:p>
    <w:p>
      <w:pPr>
        <w:spacing w:before="240" w:after="240"/>
        <w:rPr>
          <w:lang w:val="el" w:eastAsia="el"/>
        </w:rPr>
      </w:pPr>
      <w:r>
        <w:rPr>
          <w:lang w:val="el" w:eastAsia="el"/>
        </w:rPr>
        <w:t xml:space="preserve">3 </w:t>
      </w:r>
      <w:r>
        <w:rPr>
          <w:b/>
          <w:bCs/>
          <w:lang w:val="el" w:eastAsia="el"/>
        </w:rPr>
        <w:t>Ενιαία επιχείρηση</w:t>
      </w:r>
      <w:r>
        <w:rPr>
          <w:lang w:val="el" w:eastAsia="el"/>
        </w:rPr>
        <w:t>: νοείται ότι συνιστούν οι συνδεδεμένες μεταξύ τους επιχειρήσεις, ήτοι οι επιχειρήσεις που διατηρούν μεταξύ τους μία από τις ακόλουθες σχέσεις: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spacing w:before="240" w:after="240"/>
        <w:rPr>
          <w:lang w:val="el" w:eastAsia="el"/>
        </w:rPr>
      </w:pPr>
      <w:r>
        <w:rPr>
          <w:lang w:val="el" w:eastAsia="el"/>
        </w:rPr>
        <w:t>4 Δηλαδή δεν τελεί σε καθεστώς πτώχευσης ή εκκαθάρισης, δεν έχει τεθεί σε αναγκαστική διαχείριση και δεν έχει υποβληθεί αίτηση για πτώχευση ή εκκαθάριση ή για θέση σε αναγκαστική διαχείριση και δεν έχει λάβει ενίσχυση διάσωσης ή αναδιάρθρωσης.</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w:t>
      </w:r>
    </w:p>
    <w:p>
      <w:pPr>
        <w:spacing w:before="240" w:after="240"/>
        <w:rPr>
          <w:lang w:val="el" w:eastAsia="el"/>
        </w:rPr>
      </w:pPr>
      <w:r>
        <w:rPr>
          <w:lang w:val="el" w:eastAsia="el"/>
        </w:rPr>
        <w:t>Η ισχύς της παρούσας αρχίζει από δημοσιεύσεως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19 Απριλίου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oref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