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ΥΠΟΥΡΓΕΙΟ ΟΙΚΟΝΟΜΙΚΩΝ</w:t>
      </w:r>
    </w:p>
    <w:p>
      <w:pPr>
        <w:pStyle w:val="PreambelText"/>
        <w:spacing w:before="240" w:after="240"/>
        <w:rPr>
          <w:lang w:val="el" w:eastAsia="el"/>
        </w:rPr>
      </w:pPr>
      <w:r>
        <w:rPr>
          <w:b/>
          <w:bCs/>
          <w:lang w:val="el" w:eastAsia="el"/>
        </w:rPr>
        <w:t>ΓΡΑΦΕΙΟ ΥΠΟΥΡΓΟΥ</w:t>
      </w:r>
    </w:p>
    <w:p>
      <w:pPr>
        <w:pStyle w:val="PreambelText"/>
        <w:spacing w:before="240" w:after="24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ΘΕΜΑ: Καθορισμός του καταλόγου των Δικαιοδοσιών των Αρμόδιων Αρχών της Πολυμερούς Συμφωνίας Αρμόδιων Αρχών (ΠΣΑΑ) για την ανταλλαγή Εκθέσεων ανά Χώρα (ΕαΧ), βάσει της παρ. 1 του άρθρου όγδοου του Μέρους Δεύτερου του ν. 4490/2017 (Α΄ 150), για στοιχεία του φορολογικού έτους 2019.</w:t>
      </w:r>
    </w:p>
    <w:p>
      <w:pPr>
        <w:pStyle w:val="enacting"/>
        <w:spacing w:before="120" w:after="0"/>
        <w:rPr>
          <w:lang w:val="el" w:eastAsia="el"/>
        </w:rPr>
      </w:pPr>
      <w:r>
        <w:rPr>
          <w:b/>
          <w:bCs/>
          <w:lang w:val="el" w:eastAsia="el"/>
        </w:rPr>
        <w:t>ΑΠΟΦΑΣΗ</w:t>
      </w:r>
      <w:r>
        <w:rPr>
          <w:lang w:val="el" w:eastAsia="el"/>
        </w:rPr>
        <w:br/>
      </w:r>
      <w:r>
        <w:rPr>
          <w:b/>
          <w:bCs/>
          <w:lang w:val="el" w:eastAsia="el"/>
        </w:rPr>
        <w:t>Ο ΥΠΟΥΡΓΟΣ ΚΑΙ 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 xml:space="preserve">Τις διατάξεις: </w:t>
      </w:r>
      <w:r>
        <w:rPr>
          <w:b/>
          <w:bCs/>
          <w:lang w:val="el" w:eastAsia="el"/>
        </w:rPr>
        <w:t xml:space="preserve">α) </w:t>
      </w:r>
      <w:r>
        <w:rPr>
          <w:lang w:val="el" w:eastAsia="el"/>
        </w:rPr>
        <w:t>του πρώτου εδαφίου της παρ. 1 του άρθρου όγδοου του Μέρους Δεύτερου του ν. 4490/2017 (Α΄ 150) «Κύρωση της Πολυμερούς Συμφωνίας Αρμόδιων Αρχών για την Ανταλλαγή Εκθέσεων ανά Χώρα, διατάξεις εφαρμογής και λοιπές διατάξεις»,</w:t>
      </w:r>
    </w:p>
    <w:p>
      <w:pPr>
        <w:pStyle w:val="StructureList1"/>
        <w:spacing w:before="120" w:after="0"/>
        <w:rPr>
          <w:lang w:val="el" w:eastAsia="el"/>
        </w:rPr>
      </w:pPr>
      <w:r>
        <w:rPr>
          <w:lang w:val="el" w:eastAsia="el"/>
        </w:rPr>
        <w:t>β)</w:t>
      </w:r>
      <w:r>
        <w:rPr>
          <w:lang w:val="en" w:eastAsia="en"/>
        </w:rPr>
        <w:tab/>
      </w:r>
      <w:r>
        <w:rPr>
          <w:lang w:val="el" w:eastAsia="el"/>
        </w:rPr>
        <w:t xml:space="preserve">των άρθρων 1, 2 και 3 του Τμήματος 8 του του Μέρους Πρώτου του ν. 4490/2017, </w:t>
      </w:r>
      <w:r>
        <w:rPr>
          <w:b/>
          <w:bCs/>
          <w:lang w:val="el" w:eastAsia="el"/>
        </w:rPr>
        <w:t xml:space="preserve">γ) </w:t>
      </w:r>
      <w:r>
        <w:rPr>
          <w:lang w:val="el" w:eastAsia="el"/>
        </w:rPr>
        <w:t>των παρ. 3 και 6 του άρθρου 28 και της παρ. 1 του άρθρου 32 της Σύμβασης του Συμβουλίου της Ευρώπης και του ΟΟΣΑ σε συνδυασμό με τις διατάξεις του άρθρου 6 της ίδιας Σύμβασης σχετικά με την αμοιβαία διοικητική συνδρομή σε φορολογικά θέματα (Σύμβαση), όπως τροποποιήθηκε με το από 2010 Πρωτόκολλο Τροποποίησής της και κυρώθηκε με το άρθρο πρώτο του ν. 4153/2013 «Κύρωση της Σύμβασης του Συμβουλίου της Ευρώπης και του Οργανισμού Οικονομικής Συνεργασίας και Ανάπτυξης (Ο.Ο.Σ.Α.), με τα συναφή Παραρτήματα Α΄ και Β΄ σχετικά με την αμοιβαία διοικητική συνδρομή σε φορολογικά θέματα και του Πρωτοκόλλου Τροποποίησης αυτής» (Α΄ 116),</w:t>
      </w:r>
    </w:p>
    <w:p>
      <w:pPr>
        <w:pStyle w:val="PreambelText"/>
        <w:spacing w:before="240" w:after="240"/>
        <w:rPr>
          <w:lang w:val="el" w:eastAsia="el"/>
        </w:rPr>
      </w:pPr>
      <w:r>
        <w:rPr>
          <w:lang w:val="el" w:eastAsia="el"/>
        </w:rPr>
        <w:t>2. Την από 29.06.2017 γνωστοποίηση της Ελληνικής Δημοκρατίας βάσει της υποπερ. β΄ της περ. ε΄ της παρ. 1 του Τμήματος 8 της ΠΣΑΑ προς τη Γραμματεία Συντονιστικού Οργάνου του ΟΟΣΑ, σχετικά με τη Δήλωση από την Αρμόδια Αρχή της Ελλάδας ότι προτίθεται να θέσει σε ισχύ και εφαρμογή την ΠΣΑΑ με όλες τις άλλες Αρμόδιες Αρχές, οι οποίες υποβάλλουν τη γνωστοποίηση σύμφωνα με την περιπτ. ε΄ της παρ. 1 του Τμήματος 8 αυτής,</w:t>
      </w:r>
    </w:p>
    <w:p>
      <w:pPr>
        <w:pStyle w:val="PreambelText"/>
        <w:spacing w:before="240" w:after="240"/>
        <w:rPr>
          <w:lang w:val="el" w:eastAsia="el"/>
        </w:rPr>
      </w:pPr>
      <w:r>
        <w:rPr>
          <w:lang w:val="el" w:eastAsia="el"/>
        </w:rPr>
        <w:t>3. Τις υποβληθείσες προς τη Γραμματεία Συντονιστικού Οργάνου του ΟΟΣΑ γνωστοποιήσεις της παρ. 1 του Τμήματος 8 του άρθρου πρώτου του Μέρους Πρώτου του ν. 4490/2017,</w:t>
      </w:r>
    </w:p>
    <w:p>
      <w:pPr>
        <w:pStyle w:val="PreambelText"/>
        <w:spacing w:before="240" w:after="240"/>
        <w:rPr>
          <w:lang w:val="el" w:eastAsia="el"/>
        </w:rPr>
      </w:pPr>
      <w:r>
        <w:rPr>
          <w:lang w:val="el" w:eastAsia="el"/>
        </w:rPr>
        <w:t>4. Τις υπουργικές Αποφάσεις για τον καθορισμό του καταλόγου των Δικαιοδοσιών των Αρμόδιων Αρχών της Πολυμερούς Συμφωνίας Αρμόδιων Αρχών (ΠΣΑΑ) για την ανταλλαγή Εκθέσεων ανά Χώρα (ΕαΧ), βάσει του πρώτου εδαφίου της παρ. 1 του άρθρου όγδοου του Μέρους Δεύτερου του ν. 4490/2017:</w:t>
      </w:r>
    </w:p>
    <w:p>
      <w:pPr>
        <w:pStyle w:val="StructureList1"/>
        <w:spacing w:before="120" w:after="0"/>
        <w:rPr>
          <w:lang w:val="el" w:eastAsia="el"/>
        </w:rPr>
      </w:pPr>
      <w:r>
        <w:rPr>
          <w:lang w:val="el" w:eastAsia="el"/>
        </w:rPr>
        <w:t>α)</w:t>
      </w:r>
      <w:r>
        <w:rPr>
          <w:lang w:val="en" w:eastAsia="en"/>
        </w:rPr>
        <w:tab/>
      </w:r>
      <w:r>
        <w:rPr>
          <w:lang w:val="el" w:eastAsia="el"/>
        </w:rPr>
        <w:t>Α. 1124/2020 (Β’ 2328), για στοιχεία του φορολογικού έτους 2018,</w:t>
      </w:r>
    </w:p>
    <w:p>
      <w:pPr>
        <w:pStyle w:val="StructureList1"/>
        <w:spacing w:before="120" w:after="0"/>
        <w:rPr>
          <w:lang w:val="el" w:eastAsia="el"/>
        </w:rPr>
      </w:pPr>
      <w:r>
        <w:rPr>
          <w:lang w:val="el" w:eastAsia="el"/>
        </w:rPr>
        <w:t>β)</w:t>
      </w:r>
      <w:r>
        <w:rPr>
          <w:lang w:val="en" w:eastAsia="en"/>
        </w:rPr>
        <w:tab/>
      </w:r>
      <w:r>
        <w:rPr>
          <w:lang w:val="el" w:eastAsia="el"/>
        </w:rPr>
        <w:t>Α 1117/2019 (Β’ 1297), για στοιχεία του φορολογικού έτους 2017 και</w:t>
      </w:r>
    </w:p>
    <w:p>
      <w:pPr>
        <w:pStyle w:val="StructureList1"/>
        <w:spacing w:before="120" w:after="0"/>
        <w:rPr>
          <w:lang w:val="el" w:eastAsia="el"/>
        </w:rPr>
      </w:pPr>
      <w:r>
        <w:rPr>
          <w:lang w:val="el" w:eastAsia="el"/>
        </w:rPr>
        <w:t>γ)</w:t>
      </w:r>
      <w:r>
        <w:rPr>
          <w:lang w:val="en" w:eastAsia="en"/>
        </w:rPr>
        <w:tab/>
      </w:r>
      <w:r>
        <w:rPr>
          <w:lang w:val="el" w:eastAsia="el"/>
        </w:rPr>
        <w:t>ΠΟΛ 1111/2018 (Β’ 2265), για στοιχεία του φορολογικού έτους 2016,</w:t>
      </w:r>
    </w:p>
    <w:p>
      <w:pPr>
        <w:pStyle w:val="PreambelText"/>
        <w:spacing w:before="240" w:after="240"/>
        <w:rPr>
          <w:lang w:val="el" w:eastAsia="el"/>
        </w:rPr>
      </w:pPr>
      <w:r>
        <w:rPr>
          <w:lang w:val="el" w:eastAsia="el"/>
        </w:rPr>
        <w:t xml:space="preserve">5. Τους κάτωθι δημοσιευμένους καταλόγους, όπως αυτοί επικαιροποιούνται και ισχύουν: α) του ΟΟΣΑ σχετικά με τις Δικαιοδοσίες που έχουν υπογράψει την ΠΣΑΑ (Ιανουάριος 2021 ) </w:t>
      </w:r>
      <w:hyperlink r:id="rId4" w:history="1">
        <w:r>
          <w:rPr>
            <w:rStyle w:val="Hyperlink"/>
            <w:color w:val="0000EE"/>
            <w:u w:color="0000EE"/>
            <w:lang w:val="el" w:eastAsia="el"/>
          </w:rPr>
          <w:t>https ://www .oecd .org/tax/automatic-exchange/about-automatic-exchange/CbC -MCAA -</w:t>
        </w:r>
      </w:hyperlink>
      <w:hyperlink r:id="rId5" w:history="1">
        <w:r>
          <w:rPr>
            <w:rStyle w:val="Hyperlink"/>
            <w:color w:val="0000EE"/>
            <w:u w:color="0000EE"/>
            <w:lang w:val="el" w:eastAsia="el"/>
          </w:rPr>
          <w:t>Signatories .pdf</w:t>
        </w:r>
      </w:hyperlink>
      <w:r>
        <w:rPr>
          <w:u w:val="single"/>
          <w:lang w:val="el" w:eastAsia="el"/>
        </w:rPr>
        <w:t>,</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του ΟΟΣΑ σχετικά με τις Δικαιοδοσίες της ΠΣΑΑ με ενεργοποιημένες σχέσεις ανταλλαγής των Εκθέσεων ανά Χώρα (ΕαΧ) (Μάρτιος 2021)</w:t>
      </w:r>
    </w:p>
    <w:p>
      <w:pPr>
        <w:pStyle w:val="PreambelText"/>
        <w:spacing w:before="240" w:after="240"/>
        <w:rPr>
          <w:lang w:val="el" w:eastAsia="el"/>
        </w:rPr>
      </w:pPr>
      <w:hyperlink r:id="rId6" w:history="1">
        <w:r>
          <w:rPr>
            <w:rStyle w:val="Hyperlink"/>
            <w:color w:val="0000EE"/>
            <w:u w:color="0000EE"/>
            <w:lang w:val="el" w:eastAsia="el"/>
          </w:rPr>
          <w:t xml:space="preserve">http://www .oecd.org/tax/beps /country-by-country-exchange-relationships .htm </w:t>
        </w:r>
        <w:r>
          <w:rPr>
            <w:rStyle w:val="Hyperlink"/>
            <w:color w:val="0000EE"/>
            <w:u w:color="0000EE"/>
            <w:lang w:val="el" w:eastAsia="el"/>
          </w:rPr>
          <w:t>)</w:t>
        </w:r>
      </w:hyperlink>
      <w:r>
        <w:rPr>
          <w:u w:val="single"/>
          <w:lang w:val="el" w:eastAsia="el"/>
        </w:rPr>
        <w:t xml:space="preserve">, γ) του ΟΟΣΑ σχετικά με τις συμμετέχουσες Δικαιοδοσίες στη Σύμβαση (Δεκέμβριος 2020) </w:t>
      </w:r>
      <w:hyperlink r:id="rId7" w:history="1">
        <w:r>
          <w:rPr>
            <w:rStyle w:val="Hyperlink"/>
            <w:color w:val="0000EE"/>
            <w:u w:color="0000EE"/>
            <w:lang w:val="el" w:eastAsia="el"/>
          </w:rPr>
          <w:t>http://www.oecd.org/tax/exchange-of-tax-information/Status_of_convention.pdf</w:t>
        </w:r>
      </w:hyperlink>
      <w:r>
        <w:rPr>
          <w:u w:val="single"/>
          <w:lang w:val="el" w:eastAsia="el"/>
        </w:rPr>
        <w:t xml:space="preserve">, δ) του Συμβουλίου της Ευρώπης σχετικά με τις Επιφυλάξεις των Δικαιοδοσιών επί της Σύμβασης (Μαρ 2021) </w:t>
      </w:r>
      <w:hyperlink r:id="rId8" w:history="1">
        <w:r>
          <w:rPr>
            <w:rStyle w:val="Hyperlink"/>
            <w:color w:val="0000EE"/>
            <w:u w:color="0000EE"/>
            <w:lang w:val="el" w:eastAsia="el"/>
          </w:rPr>
          <w:t>https://www.coe.int/en/web/conventions/search-on-treaties/-/conventions/treaty/127/declarations</w:t>
        </w:r>
      </w:hyperlink>
    </w:p>
    <w:p>
      <w:pPr>
        <w:pStyle w:val="PreambelText"/>
        <w:spacing w:before="240" w:after="240"/>
        <w:rPr>
          <w:lang w:val="el" w:eastAsia="el"/>
        </w:rPr>
      </w:pPr>
      <w:r>
        <w:rPr>
          <w:u w:val="single"/>
          <w:lang w:val="el" w:eastAsia="el"/>
        </w:rPr>
        <w:t>6. Τη διασφάλιση των όρων της αμοιβαιότητας για την ανταλλαγή των ΕαΧ,</w:t>
      </w:r>
    </w:p>
    <w:p>
      <w:pPr>
        <w:pStyle w:val="PreambelText"/>
        <w:spacing w:before="240" w:after="240"/>
        <w:rPr>
          <w:lang w:val="el" w:eastAsia="el"/>
        </w:rPr>
      </w:pPr>
      <w:r>
        <w:rPr>
          <w:u w:val="single"/>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u w:val="single"/>
          <w:lang w:val="el" w:eastAsia="el"/>
        </w:rPr>
        <w:t>8. Τις διατάξεις του π.δ. 142/2017 «Οργανισμός του Υπουργείου Οικονομικών» (Α΄ 121), όπως ισχύει,</w:t>
      </w:r>
    </w:p>
    <w:p>
      <w:pPr>
        <w:pStyle w:val="PreambelText"/>
        <w:spacing w:before="240" w:after="240"/>
        <w:rPr>
          <w:lang w:val="el" w:eastAsia="el"/>
        </w:rPr>
      </w:pPr>
      <w:r>
        <w:rPr>
          <w:u w:val="single"/>
          <w:lang w:val="el" w:eastAsia="el"/>
        </w:rPr>
        <w:t>9. Την υπό στοιχεία Υ2/2019 απόφαση του Πρωθυπουργού «Σύσταση θέσεων Αναπληρωτή Υπουργού και Υφυπουργών (Β΄2901),</w:t>
      </w:r>
    </w:p>
    <w:p>
      <w:pPr>
        <w:pStyle w:val="PreambelText"/>
        <w:spacing w:before="240" w:after="240"/>
        <w:rPr>
          <w:lang w:val="el" w:eastAsia="el"/>
        </w:rPr>
      </w:pPr>
      <w:r>
        <w:rPr>
          <w:u w:val="single"/>
          <w:lang w:val="el" w:eastAsia="el"/>
        </w:rPr>
        <w:t>10. Την υπ’ αριθ.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u w:val="single"/>
          <w:lang w:val="el" w:eastAsia="el"/>
        </w:rPr>
        <w:t>11. Τις διατάξεις του Κεφαλαίου Α΄ «Σύσταση Ανεξάρτητης Αρχής Δημοσίων Εσόδων» του Μέρους Πρώτου του ν. 4389/2016 (Α΄ 94) και ειδικότερα της παρ. 1 του άρθρου 7, του άρθρου 14 και του άρθρου 41 αυτού, όπως ισχύουν,</w:t>
      </w:r>
    </w:p>
    <w:p>
      <w:pPr>
        <w:pStyle w:val="PreambelText"/>
        <w:spacing w:before="240" w:after="240"/>
        <w:rPr>
          <w:lang w:val="el" w:eastAsia="el"/>
        </w:rPr>
      </w:pPr>
      <w:r>
        <w:rPr>
          <w:u w:val="single"/>
          <w:lang w:val="el" w:eastAsia="el"/>
        </w:rPr>
        <w:t>12.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 όπως συμπληρώθηκε, τροποποιήθηκε και ισχύει»,</w:t>
      </w:r>
    </w:p>
    <w:p>
      <w:pPr>
        <w:pStyle w:val="PreambelText"/>
        <w:spacing w:before="240" w:after="240"/>
        <w:rPr>
          <w:lang w:val="el" w:eastAsia="el"/>
        </w:rPr>
      </w:pPr>
      <w:r>
        <w:rPr>
          <w:u w:val="single"/>
          <w:lang w:val="el" w:eastAsia="el"/>
        </w:rPr>
        <w:t>13. Την εισήγηση της Διεύθυνσης Διεθνών Οικονομικών Σχέσεων (ΔΔΟΣ) της ΑΑΔΕ ως Αρμόδιας Αρχής δυνάμει της περ. ια΄ της παρ. 1 του άρθρου δεύτερου του Μέρους Δεύτερου του ν. 4490/2017,</w:t>
      </w:r>
    </w:p>
    <w:p>
      <w:pPr>
        <w:pStyle w:val="PreambelText"/>
        <w:spacing w:before="240" w:after="240"/>
        <w:rPr>
          <w:lang w:val="el" w:eastAsia="el"/>
        </w:rPr>
      </w:pPr>
      <w:r>
        <w:rPr>
          <w:u w:val="single"/>
          <w:lang w:val="el" w:eastAsia="el"/>
        </w:rPr>
        <w:t>14. Την ανάγκη ρύθμισης όλων των σχετικών θεμάτων προκειμένου να εφαρμοστεί ομαλά και απρόσκοπτα το πλαίσιο της αυτόματης ανταλλαγής των ΕαΧ,</w:t>
      </w:r>
    </w:p>
    <w:p>
      <w:pPr>
        <w:pStyle w:val="PreambelText"/>
        <w:spacing w:before="240" w:after="240"/>
        <w:rPr>
          <w:lang w:val="el" w:eastAsia="el"/>
        </w:rPr>
      </w:pPr>
      <w:r>
        <w:rPr>
          <w:u w:val="single"/>
          <w:lang w:val="el" w:eastAsia="el"/>
        </w:rPr>
        <w:t>15. Το γεγονός ότι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b/>
          <w:bCs/>
          <w:u w:val="single"/>
          <w:lang w:val="el" w:eastAsia="el"/>
        </w:rPr>
        <w:t>ΑΠΟΦΑΣΙΖΟΥΜΕ</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Κατάλογος Δικαιοδοσιών με τις οποίες τίθεται σε ισχύ και εφαρμογή η ΠΣΑΑ</w:t>
      </w:r>
    </w:p>
    <w:p>
      <w:pPr>
        <w:spacing w:before="240" w:after="240"/>
        <w:rPr>
          <w:lang w:val="el" w:eastAsia="el"/>
        </w:rPr>
      </w:pPr>
      <w:r>
        <w:rPr>
          <w:u w:val="single"/>
          <w:lang w:val="el" w:eastAsia="el"/>
        </w:rPr>
        <w:t xml:space="preserve">Ορίζεται ο κατάλογος των Δικαιοδοσιών με τις οποίες τίθεται σε ισχύ και εφαρμογή η ΠΣΑΑ για την ανταλλαγή των ΕαΧ, </w:t>
      </w:r>
      <w:r>
        <w:rPr>
          <w:b/>
          <w:bCs/>
          <w:u w:val="single"/>
          <w:lang w:val="el" w:eastAsia="el"/>
        </w:rPr>
        <w:t>αναφορικά με το φορολογικό έτος 2019, ως προς το έτος ανταλλαγής 2021: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1828"/>
        <w:gridCol w:w="1831"/>
        <w:gridCol w:w="2936"/>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 ΠΙΝΑΚΑΣ ΔΙΚΑΙΟΔΟΣΙΩΝ ΜΕ ΤΙΣ ΟΠΟΙΕΣ Η ΕΛΛΑΔΑ ΕΦΑΡΜΟΖΕΙ ΑΜΟΙΒΑΙΑ ΣΧΕΣΗ</w:t>
            </w:r>
          </w:p>
          <w:p>
            <w:pPr>
              <w:spacing w:before="240"/>
              <w:rPr>
                <w:b w:val="0"/>
                <w:bCs w:val="0"/>
                <w:i w:val="0"/>
                <w:iCs w:val="0"/>
                <w:smallCaps w:val="0"/>
                <w:color w:val="000000"/>
                <w:lang w:val="el" w:eastAsia="el"/>
              </w:rPr>
            </w:pPr>
            <w:r>
              <w:rPr>
                <w:b/>
                <w:bCs/>
                <w:i w:val="0"/>
                <w:iCs w:val="0"/>
                <w:smallCaps w:val="0"/>
                <w:color w:val="000000"/>
                <w:lang w:val="el" w:eastAsia="el"/>
              </w:rPr>
              <w:t>ΑΝΤΑΛΛΑΓΗΣ ΕΚΘΕΣΕΩΝ ΑΝΑ ΧΩΡΑ ΩΣ ΠΡΟΣ ΤΟ ΕΤΟΣ ΑΝΤΑΛΛΑΓΗΣ 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Μαρίνος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 Marino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Αγίου Μαρίνου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Ανδόρα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Andorra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Πριγκιπάτο της Ανδόρας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Αργεντινή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Argentina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Αργεντινής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Australia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Κοινοπολιτεία της Αυστραλίας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Brazil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 Δημοκρατία της Βραζιλίας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Γιβραλτάρ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Gibraltar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Γιβραλτάρ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Guernsey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Βαϊλάτο του 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Ελβετία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Switzerland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Ελβετική</w:t>
            </w:r>
          </w:p>
          <w:p>
            <w:pPr>
              <w:spacing w:before="240"/>
              <w:rPr>
                <w:b w:val="0"/>
                <w:bCs w:val="0"/>
                <w:i w:val="0"/>
                <w:iCs w:val="0"/>
                <w:smallCaps w:val="0"/>
                <w:color w:val="000000"/>
                <w:lang w:val="el" w:eastAsia="el"/>
              </w:rPr>
            </w:pPr>
            <w:r>
              <w:rPr>
                <w:b w:val="0"/>
                <w:bCs w:val="0"/>
                <w:i w:val="0"/>
                <w:iCs w:val="0"/>
                <w:smallCaps w:val="0"/>
                <w:color w:val="000000"/>
                <w:lang w:val="el" w:eastAsia="el"/>
              </w:rPr>
              <w:t>Συνομοσπονδία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United Kingdom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 της Μεγάλης Βρετανίας και της Βόρειας Ιρλανδίας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Japan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Ινδίας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Indonesia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Ινδονησίας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Iceland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Λαϊκή Δημοκρατία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Colombia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2631"/>
        <w:gridCol w:w="1939"/>
        <w:gridCol w:w="2615"/>
        <w:gridCol w:w="15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Korea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Λιχτενστάιν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Liechtenstein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Πριγκιπάτο του Λιχτενστάιν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Malaysia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Μαυρίκιος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Mauritius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Μαυρικίου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Mexico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Ηνωμένες Πολιτείες του Μεξικού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Monaco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Πριγκιπάτο του Μονακό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Κάτω Χώρες</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(σχετικά με τις νήσους Μποναίρ, Άγιος Ευστάθιο και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Netherlands</w:t>
            </w:r>
          </w:p>
          <w:p>
            <w:pPr>
              <w:spacing w:before="240" w:after="240"/>
              <w:rPr>
                <w:b w:val="0"/>
                <w:bCs w:val="0"/>
                <w:i w:val="0"/>
                <w:iCs w:val="0"/>
                <w:smallCaps w:val="0"/>
                <w:color w:val="000000"/>
                <w:lang w:val="el" w:eastAsia="el"/>
              </w:rPr>
            </w:pPr>
            <w:r>
              <w:rPr>
                <w:b w:val="0"/>
                <w:bCs w:val="0"/>
                <w:i w:val="0"/>
                <w:iCs w:val="0"/>
                <w:smallCaps w:val="0"/>
                <w:color w:val="000000"/>
                <w:lang w:val="el" w:eastAsia="el"/>
              </w:rPr>
              <w:t>(in respect to BQ ISO</w:t>
            </w:r>
          </w:p>
          <w:p>
            <w:pPr>
              <w:spacing w:before="240" w:after="240"/>
              <w:rPr>
                <w:b w:val="0"/>
                <w:bCs w:val="0"/>
                <w:i w:val="0"/>
                <w:iCs w:val="0"/>
                <w:smallCaps w:val="0"/>
                <w:color w:val="000000"/>
                <w:lang w:val="el" w:eastAsia="el"/>
              </w:rPr>
            </w:pPr>
            <w:r>
              <w:rPr>
                <w:b w:val="0"/>
                <w:bCs w:val="0"/>
                <w:i w:val="0"/>
                <w:iCs w:val="0"/>
                <w:smallCaps w:val="0"/>
                <w:color w:val="000000"/>
                <w:lang w:val="el" w:eastAsia="el"/>
              </w:rPr>
              <w:t>code territories: the ς</w:t>
            </w:r>
          </w:p>
          <w:p>
            <w:pPr>
              <w:spacing w:before="240" w:after="240"/>
              <w:rPr>
                <w:b w:val="0"/>
                <w:bCs w:val="0"/>
                <w:i w:val="0"/>
                <w:iCs w:val="0"/>
                <w:smallCaps w:val="0"/>
                <w:color w:val="000000"/>
                <w:lang w:val="el" w:eastAsia="el"/>
              </w:rPr>
            </w:pPr>
            <w:r>
              <w:rPr>
                <w:b w:val="0"/>
                <w:bCs w:val="0"/>
                <w:i w:val="0"/>
                <w:iCs w:val="0"/>
                <w:smallCaps w:val="0"/>
                <w:color w:val="000000"/>
                <w:lang w:val="el" w:eastAsia="el"/>
              </w:rPr>
              <w:t>islands of Bonaire, Sin</w:t>
            </w:r>
          </w:p>
          <w:p>
            <w:pPr>
              <w:spacing w:before="240"/>
              <w:rPr>
                <w:b w:val="0"/>
                <w:bCs w:val="0"/>
                <w:i w:val="0"/>
                <w:iCs w:val="0"/>
                <w:smallCaps w:val="0"/>
                <w:color w:val="000000"/>
                <w:lang w:val="el" w:eastAsia="el"/>
              </w:rPr>
            </w:pPr>
            <w:r>
              <w:rPr>
                <w:b w:val="0"/>
                <w:bCs w:val="0"/>
                <w:i w:val="0"/>
                <w:iCs w:val="0"/>
                <w:smallCaps w:val="0"/>
                <w:color w:val="000000"/>
                <w:lang w:val="el" w:eastAsia="el"/>
              </w:rPr>
              <w:t>Eustatius and Saba)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Βασίλειο των Κάτω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Χωρών (σχετικά με τις νήσους Μποναίρ, tΆγιος Ευστάθιος και</w:t>
            </w:r>
          </w:p>
          <w:p>
            <w:pPr>
              <w:spacing w:before="240"/>
              <w:rPr>
                <w:b w:val="0"/>
                <w:bCs w:val="0"/>
                <w:i w:val="0"/>
                <w:iCs w:val="0"/>
                <w:smallCaps w:val="0"/>
                <w:color w:val="000000"/>
                <w:lang w:val="el" w:eastAsia="el"/>
              </w:rPr>
            </w:pPr>
            <w:r>
              <w:rPr>
                <w:b w:val="0"/>
                <w:bCs w:val="0"/>
                <w:i w:val="0"/>
                <w:iCs w:val="0"/>
                <w:smallCaps w:val="0"/>
                <w:color w:val="000000"/>
                <w:lang w:val="el" w:eastAsia="el"/>
              </w:rPr>
              <w:t>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NL</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(νήσοι Μποναίρ, Άγιος Ευστάθιος</w:t>
            </w:r>
          </w:p>
          <w:p>
            <w:pPr>
              <w:spacing w:before="240"/>
              <w:rPr>
                <w:b w:val="0"/>
                <w:bCs w:val="0"/>
                <w:i w:val="0"/>
                <w:iCs w:val="0"/>
                <w:smallCaps w:val="0"/>
                <w:color w:val="000000"/>
                <w:lang w:val="el" w:eastAsia="el"/>
              </w:rPr>
            </w:pPr>
            <w:r>
              <w:rPr>
                <w:b w:val="0"/>
                <w:bCs w:val="0"/>
                <w:i w:val="0"/>
                <w:iCs w:val="0"/>
                <w:smallCaps w:val="0"/>
                <w:color w:val="000000"/>
                <w:lang w:val="el" w:eastAsia="el"/>
              </w:rPr>
              <w:t>και Σάμπα με κωδικό BQ)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New Zealand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Isle of 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Norway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της Νορβηγίας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South Africa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Νότιας Αφρικής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Ουρουγουάη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Uruguay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Ανατολική Δημοκρατία της Ουρουγουάης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Pakistan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Ισλαμική Δημοκρατία του 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Παναμάς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Panama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Παναμ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άPA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Peru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Russian Federation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Ρωσική Ομοσπονδία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Saudi Arabia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της Σαουδικής Αραβίας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Σινγκαπούρη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Singapore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Σινγκαπούρης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Jersey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Βαϊλάτο του 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Τουρκί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ςTR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Χιλής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Χονγκ Κονγκ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Hong Kong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Διοικητική Περιο Χονγκ Κονγκ της Λαϊκής Δημοκρατίας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χή</w:t>
            </w:r>
          </w:p>
          <w:p>
            <w:pPr>
              <w:spacing w:before="240"/>
              <w:rPr>
                <w:b w:val="0"/>
                <w:bCs w:val="0"/>
                <w:i w:val="0"/>
                <w:iCs w:val="0"/>
                <w:smallCaps w:val="0"/>
                <w:color w:val="000000"/>
                <w:lang w:val="el" w:eastAsia="el"/>
              </w:rPr>
            </w:pPr>
            <w:r>
              <w:rPr>
                <w:b w:val="0"/>
                <w:bCs w:val="0"/>
                <w:i w:val="0"/>
                <w:iCs w:val="0"/>
                <w:smallCaps w:val="0"/>
                <w:color w:val="000000"/>
                <w:lang w:val="el" w:eastAsia="el"/>
              </w:rPr>
              <w:t>HK</w:t>
            </w:r>
          </w:p>
        </w:tc>
      </w:tr>
    </w:tbl>
    <w:p>
      <w:pPr>
        <w:spacing w:before="240" w:after="240"/>
        <w:rPr>
          <w:lang w:val="el" w:eastAsia="el"/>
        </w:rPr>
      </w:pPr>
      <w:r>
        <w:rPr>
          <w:b/>
          <w:bCs/>
          <w:u w:val="single"/>
          <w:lang w:val="el" w:eastAsia="el"/>
        </w:rPr>
        <w:t>Β. ΠΙΝΑΚΑΣ ΔΙΚΑΙΟΔΟΣΙΩΝ ΑΠΟ ΤΙΣ ΟΠΟΙΕΣ Η ΕΛΛΑΔΑ ΛΑΜΒΑΝΕΙ (ΜΗ ΑΜΟΙΒΑΙΑ ΣΧΕΣΗ ΑΝΤΑΛΛΑΓΗΣ)</w:t>
      </w:r>
    </w:p>
    <w:p>
      <w:pPr>
        <w:spacing w:before="240" w:after="240"/>
        <w:rPr>
          <w:lang w:val="el" w:eastAsia="el"/>
        </w:rPr>
      </w:pPr>
      <w:r>
        <w:rPr>
          <w:b/>
          <w:bCs/>
          <w:u w:val="single"/>
          <w:lang w:val="el" w:eastAsia="el"/>
        </w:rPr>
        <w:t>ΕΚΘΕΣΕΙΣ ΑΝΑ ΧΩΡΑ ΩΣ ΠΡΟΣ ΤΟ ΕΤΟΣ ΑΝΤΑΛΛΑΓΗΣ 2021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10"/>
        <w:gridCol w:w="1790"/>
        <w:gridCol w:w="2841"/>
        <w:gridCol w:w="21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Ανγκουίλα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Anquilla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Ανγκουίλα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Bermuda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Βρετανικές Παρθένοι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British Virgin</w:t>
            </w:r>
          </w:p>
          <w:p>
            <w:pPr>
              <w:spacing w:before="240"/>
              <w:rPr>
                <w:b w:val="0"/>
                <w:bCs w:val="0"/>
                <w:i w:val="0"/>
                <w:iCs w:val="0"/>
                <w:smallCaps w:val="0"/>
                <w:color w:val="000000"/>
                <w:lang w:val="el" w:eastAsia="el"/>
              </w:rPr>
            </w:pPr>
            <w:r>
              <w:rPr>
                <w:b w:val="0"/>
                <w:bCs w:val="0"/>
                <w:i w:val="0"/>
                <w:iCs w:val="0"/>
                <w:smallCaps w:val="0"/>
                <w:color w:val="000000"/>
                <w:lang w:val="el" w:eastAsia="el"/>
              </w:rPr>
              <w:t>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Βρετανικές Παρθένοι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United Arab Emirates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Καζαχστάν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Kazakhstan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Καζαχστάν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Qatar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Κράτος του 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Costa 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Curaçao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Macau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Διοικητική Περιοχή Μακάο της Λαϊκής Δημοκρατίας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Μπαχάμες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Bahamas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Κοινοπολιτεία των Μπαχαμών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Bahrain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του 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Μπελίζε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Belize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Μπελίζε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Nigeria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 Δημοκρατία της Νιγηρίας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Κάιμαν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Cayman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Έδαφος των Νήσων Κάιμαν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Τερκ και Κάικος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Turks and Caicos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Τερκ και Κάικος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Σεϋχέλλες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Seychelles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των Σεϋχελλών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SC</w:t>
            </w:r>
          </w:p>
        </w:tc>
      </w:tr>
    </w:tbl>
    <w:p>
      <w:pPr>
        <w:spacing w:before="240" w:after="240"/>
        <w:rPr>
          <w:lang w:val="el" w:eastAsia="el"/>
        </w:rPr>
      </w:pPr>
      <w:r>
        <w:rPr>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ΥΦΥΠΟΥΡΓΟΣ ΟΙΚΟΝΟΜΙΚΩΝ</w:t>
      </w:r>
    </w:p>
    <w:p>
      <w:pPr>
        <w:spacing w:before="240" w:after="240"/>
        <w:rPr>
          <w:lang w:val="el" w:eastAsia="el"/>
        </w:rPr>
      </w:pPr>
      <w:r>
        <w:rPr>
          <w:b/>
          <w:bCs/>
          <w:u w:val="single"/>
          <w:lang w:val="el" w:eastAsia="el"/>
        </w:rPr>
        <w:t>Ο ΥΠΟΥΡΓΟΣ ΟΙΚΟΝΟΜΙΚΩΝ</w:t>
      </w:r>
    </w:p>
    <w:p>
      <w:pPr>
        <w:spacing w:before="240" w:after="240"/>
        <w:rPr>
          <w:lang w:val="el" w:eastAsia="el"/>
        </w:rPr>
      </w:pPr>
      <w:r>
        <w:rPr>
          <w:b/>
          <w:bCs/>
          <w:u w:val="single"/>
          <w:lang w:val="el" w:eastAsia="el"/>
        </w:rPr>
        <w:t>ΑΠΟΣΤΟΛΟΣ ΒΕΣΥΡΟΠΟΥΛΟΣ</w:t>
      </w:r>
    </w:p>
    <w:p>
      <w:pPr>
        <w:spacing w:before="240" w:after="240"/>
        <w:rPr>
          <w:lang w:val="el" w:eastAsia="el"/>
        </w:rPr>
      </w:pPr>
      <w:r>
        <w:rPr>
          <w:b/>
          <w:bCs/>
          <w:u w:val="single"/>
          <w:lang w:val="el" w:eastAsia="el"/>
        </w:rPr>
        <w:t>ΧΡΗΣΤΟΣ ΣΤΑΪΚΟΥΡΑΣ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Εθνικό Τυπογραφείο</w:t>
      </w:r>
    </w:p>
    <w:p>
      <w:pPr>
        <w:spacing w:before="240" w:after="240"/>
        <w:rPr>
          <w:lang w:val="el" w:eastAsia="el"/>
        </w:rPr>
      </w:pPr>
      <w:r>
        <w:rPr>
          <w:u w:val="single"/>
          <w:lang w:val="el" w:eastAsia="el"/>
        </w:rPr>
        <w:t>(στην ηλεκτρονική διεύθυνση “webmaster.et@et.gr”), για δημοσίευση της απόφασης</w:t>
      </w:r>
    </w:p>
    <w:p>
      <w:pPr>
        <w:spacing w:before="240" w:after="240"/>
        <w:rPr>
          <w:lang w:val="el" w:eastAsia="el"/>
        </w:rPr>
      </w:pPr>
      <w:r>
        <w:rPr>
          <w:u w:val="single"/>
          <w:lang w:val="el" w:eastAsia="el"/>
        </w:rPr>
        <w:t>2. Διεύθυνση Υπηρεσιών Δεδομένων</w:t>
      </w:r>
    </w:p>
    <w:p>
      <w:pPr>
        <w:spacing w:before="240" w:after="240"/>
        <w:rPr>
          <w:lang w:val="el" w:eastAsia="el"/>
        </w:rPr>
      </w:pPr>
      <w:r>
        <w:rPr>
          <w:u w:val="single"/>
          <w:lang w:val="el" w:eastAsia="el"/>
        </w:rPr>
        <w:t>3. Διεύθυνση Στρατηγικής Τεχνολογιών Πληροφορικής</w:t>
      </w:r>
    </w:p>
    <w:p>
      <w:pPr>
        <w:spacing w:before="240" w:after="240"/>
        <w:rPr>
          <w:lang w:val="el" w:eastAsia="el"/>
        </w:rPr>
      </w:pPr>
      <w:r>
        <w:rPr>
          <w:u w:val="single"/>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 Υπουργείο Οικονομικών</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Γραφείο Υπουργού</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Γραφείο Υφυπουργού</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Γραφείο Γενικού Γραμματέα Πληροφοριακών Συστημάτων και Δημόσιας Διοίκησης</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Γραφείο Γενικής Γραμματέως Φορολογικής Πολιτικής και Δημόσιας Περιουσίας</w:t>
      </w:r>
    </w:p>
    <w:p>
      <w:pPr>
        <w:spacing w:before="240" w:after="240"/>
        <w:rPr>
          <w:lang w:val="el" w:eastAsia="el"/>
        </w:rPr>
      </w:pPr>
      <w:r>
        <w:rPr>
          <w:u w:val="single"/>
          <w:lang w:val="el" w:eastAsia="el"/>
        </w:rPr>
        <w:t>2. Αποδέκτες πινάκων: Α΄, Γ’ και Ζ΄</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1. Γραφείο Διοικητή της ΑΑΔΕ</w:t>
      </w:r>
    </w:p>
    <w:p>
      <w:pPr>
        <w:spacing w:before="240" w:after="240"/>
        <w:rPr>
          <w:lang w:val="el" w:eastAsia="el"/>
        </w:rPr>
      </w:pPr>
      <w:r>
        <w:rPr>
          <w:u w:val="single"/>
          <w:lang w:val="el" w:eastAsia="el"/>
        </w:rPr>
        <w:t>2. Προϊστάμενοι Γενικών Δ/νσεων της ΑΑΔΕ</w:t>
      </w:r>
    </w:p>
    <w:p>
      <w:pPr>
        <w:spacing w:before="240" w:after="240"/>
        <w:rPr>
          <w:lang w:val="el" w:eastAsia="el"/>
        </w:rPr>
      </w:pPr>
      <w:r>
        <w:rPr>
          <w:u w:val="single"/>
          <w:lang w:val="el" w:eastAsia="el"/>
        </w:rPr>
        <w:t>3. Δ/νση Νομικής Υποστήριξης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ecd.org/tax/automatic-exchange/about-automatic-exchange/CbC-MCAA-Signatories.pdf" TargetMode="External" /><Relationship Id="rId5" Type="http://schemas.openxmlformats.org/officeDocument/2006/relationships/hyperlink" Target="https://www.oecd.org/tax/automatic-exchange/about-automatic-exchange/CbC-MCAA-Signatories.pdf" TargetMode="External" /><Relationship Id="rId6" Type="http://schemas.openxmlformats.org/officeDocument/2006/relationships/hyperlink" Target="http://www.oecd.org/tax/beps/country-by-country-exchange-relationships.htm" TargetMode="External" /><Relationship Id="rId7" Type="http://schemas.openxmlformats.org/officeDocument/2006/relationships/hyperlink" Target="http://www.oecd.org/tax/exchange-of-tax-information/Status_of_convention.pdf" TargetMode="External" /><Relationship Id="rId8" Type="http://schemas.openxmlformats.org/officeDocument/2006/relationships/hyperlink" Target="https://www.coe.int/en/web/conventions/search-on-treaties/-/conventions/treaty/127/declaration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