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ΤΜΗΜΑΤΑ Β΄, Δ΄</w:t>
      </w:r>
    </w:p>
    <w:p>
      <w:pPr>
        <w:pStyle w:val="PreambelText"/>
        <w:spacing w:before="240" w:after="240"/>
        <w:rPr>
          <w:lang w:val="el" w:eastAsia="el"/>
        </w:rPr>
      </w:pPr>
      <w:r>
        <w:rPr>
          <w:b/>
          <w:bCs/>
          <w:lang w:val="el" w:eastAsia="el"/>
        </w:rPr>
        <w:t>Τηλέφωνο: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w:t>
      </w:r>
    </w:p>
    <w:p>
      <w:pPr>
        <w:spacing w:before="240" w:after="240"/>
        <w:rPr>
          <w:lang w:val="el" w:eastAsia="el"/>
        </w:rPr>
      </w:pPr>
      <w:r>
        <w:rPr>
          <w:lang w:val="el" w:eastAsia="el"/>
        </w:rPr>
        <w:t>4. Τις διατάξεις του ν.δ. 356/1974 «Περί κώδικος Εισπράξεως Δημοσίων εσόδων» (Α΄ 90 - Κ.Ε.Δ.Ε.).</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περί σύστασης θέσης Γενικού Γραμματέα Δημοσίων Εσόδων, σε συνδυασμό με τις διατάξεις της παρ. 1 του άρθρου 13 και της παρ. 10 του άρθρου 41 του ν. 4389/2016.</w:t>
      </w:r>
    </w:p>
    <w:p>
      <w:pPr>
        <w:spacing w:before="240" w:after="240"/>
        <w:rPr>
          <w:lang w:val="el" w:eastAsia="el"/>
        </w:rPr>
      </w:pPr>
      <w:r>
        <w:rPr>
          <w:lang w:val="el" w:eastAsia="el"/>
        </w:rPr>
        <w:t>13. 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1254/2020 απόφαση του Υφυπουργού Οικονομικών «Καθορισμός των λεπτομερειών εφαρμογής του άρθρου 2 της από 11-3-2020 Πράξης Νομοθετικού Περιεχομένου (Α΄ 55), όπως τροποποιήθηκε, η οποία κυρώθηκε με το άρθρο 2 του ν. 4682/2020 (Α΄ 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(Β΄5223).</w:t>
      </w:r>
    </w:p>
    <w:p>
      <w:pPr>
        <w:spacing w:before="240" w:after="240"/>
        <w:rPr>
          <w:lang w:val="el" w:eastAsia="el"/>
        </w:rPr>
      </w:pPr>
      <w:r>
        <w:rPr>
          <w:lang w:val="el" w:eastAsia="el"/>
        </w:rPr>
        <w:t>15. Την υπό στοιχεία Α. 1280/2020 απόφαση του Υφυπουργού Οικονομικών «Καθορισμός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 η οποία κυρώθηκε με το άρθρο 2 του ν.4682/2020 (Α΄76)» (Β΄5639).</w:t>
      </w:r>
    </w:p>
    <w:p>
      <w:pPr>
        <w:spacing w:before="240" w:after="240"/>
        <w:rPr>
          <w:lang w:val="el" w:eastAsia="el"/>
        </w:rPr>
      </w:pPr>
      <w:r>
        <w:rPr>
          <w:lang w:val="el" w:eastAsia="el"/>
        </w:rPr>
        <w:t>16. Την υπό στοιχεία Α. 1015/2021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η οποία κυρώθηκε με το άρθρο 2 του ν.4682/2020 (Α΄76)» (Β΄246).</w:t>
      </w:r>
    </w:p>
    <w:p>
      <w:pPr>
        <w:spacing w:before="240" w:after="240"/>
        <w:rPr>
          <w:lang w:val="el" w:eastAsia="el"/>
        </w:rPr>
      </w:pPr>
      <w:r>
        <w:rPr>
          <w:lang w:val="el" w:eastAsia="el"/>
        </w:rPr>
        <w:t>17. Την υπό στοιχεία Α. 1029/2021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η οποία κυρώθηκε με το άρθρο 2 του ν.4682/2020 (Α΄76)» (Β΄617).</w:t>
      </w:r>
    </w:p>
    <w:p>
      <w:pPr>
        <w:spacing w:before="240" w:after="240"/>
        <w:rPr>
          <w:lang w:val="el" w:eastAsia="el"/>
        </w:rPr>
      </w:pPr>
      <w:r>
        <w:rPr>
          <w:lang w:val="el" w:eastAsia="el"/>
        </w:rPr>
        <w:t>18. Την υπό στοιχεία Α. 1071/2021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η οποία κυρώθηκε με το άρθρο 2 του ν.4682/2020 (Α΄76), αντικατάσταση της υπό στοιχεία Α. 1056/183-2021 (Β΄1071) απόφαση» (Β΄1201/29-3-2021), η οποία διορθώθηκε με το ΦΕΚ Β’ 1513/2021.</w:t>
      </w:r>
    </w:p>
    <w:p>
      <w:pPr>
        <w:spacing w:before="240" w:after="240"/>
        <w:rPr>
          <w:lang w:val="el" w:eastAsia="el"/>
        </w:rPr>
      </w:pPr>
      <w:r>
        <w:rPr>
          <w:lang w:val="el" w:eastAsia="el"/>
        </w:rPr>
        <w:t>19.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τροποποιήθηκει, η οποία κυρώθηκε με το άρθρο 2 του ν. 4682/2020 (Α΄ 76).</w:t>
      </w:r>
    </w:p>
    <w:p>
      <w:pPr>
        <w:spacing w:before="240" w:after="240"/>
        <w:rPr>
          <w:lang w:val="el" w:eastAsia="el"/>
        </w:rPr>
      </w:pPr>
      <w:r>
        <w:rPr>
          <w:lang w:val="el" w:eastAsia="el"/>
        </w:rPr>
        <w:t>20. Την εισήγηση του Διοικητή της Ανεξάρτητης Αρχής Δημοσίων Εσόδων (Α.Α.Δ.Ε.).</w:t>
      </w:r>
    </w:p>
    <w:p>
      <w:pPr>
        <w:spacing w:before="240" w:after="240"/>
        <w:rPr>
          <w:lang w:val="el" w:eastAsia="el"/>
        </w:rPr>
      </w:pPr>
      <w:r>
        <w:rPr>
          <w:lang w:val="el" w:eastAsia="el"/>
        </w:rPr>
        <w:t>21.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Απριλίου 2021 ρυθμίσεων και διευκολύνσεων τμηματικής καταβολής βεβαιωμένων οφειλών στις Δ.Ο.Υ./Ελεγκτικά Κέντρα για τις επιχειρήσεις που έχουν ενεργό, κύριο κωδικό δραστηριότητας στις 20-32020 από τους αναγραφόμενους στο συνημμένο πίνακα, ο οποίος και αποτελεί αναπόσπαστο μέρος της παρούσας, ή ακαθάριστα έσοδα ενεργού κατά την 20-3-2020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20-3-2020.</w:t>
      </w:r>
    </w:p>
    <w:p>
      <w:pPr>
        <w:spacing w:before="240" w:after="240"/>
        <w:rPr>
          <w:lang w:val="el" w:eastAsia="el"/>
        </w:rPr>
      </w:pPr>
      <w:r>
        <w:rPr>
          <w:lang w:val="el" w:eastAsia="el"/>
        </w:rPr>
        <w:t>Η εν λόγω δόση Απριλίου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 και των υπό στοιχεία Α. 1254/2020 (Β΄5223), Α. 1280 (Β΄5639), Α. 1015/2021 (Β΄246) , Α. 1029/2021 (Β΄617) και Α. 1071/2021 (Β΄1201-η οποία διορθώθηκε με το ΦΕΚ Β’ 1513)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ΠΑΡΑΡΤΗΜΑ ΚΩΔΙΚΟΙ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46.42.11.4</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46.90.10.0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 ηλεκτρικών λαμπτήρων και φωτιστικών εξαρτημάτων (ΚΑΔ 47.59.56.01) 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εξαιρουμένου του λιανικού εμπορίου μελανιών, με αναγόμωση φυσιγγίων (cartridges) εκτυπωτών (ΚΑΔ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59.13.11.0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77.39.19.0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αισθητικού αρωματοθεραπείας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εργαστηρίου αισθητικής προσώπου και σώματος (ινστιτούτου καλλονής)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 αισθητικού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