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ΑΠΟΦΑΣΗ (ΕΕ) 2021/660 ΤΗΣ ΕΠΙΤΡΟΠΗΣ</w:t>
      </w:r>
      <w:r>
        <w:rPr>
          <w:lang w:val="el" w:eastAsia="el"/>
        </w:rPr>
        <w:br/>
      </w:r>
      <w:r>
        <w:rPr>
          <w:b/>
          <w:bCs/>
          <w:lang w:val="el" w:eastAsia="el"/>
        </w:rPr>
        <w:t>της 19ης Απριλίου 2021</w:t>
      </w:r>
    </w:p>
    <w:p>
      <w:pPr>
        <w:pStyle w:val="PreambelText"/>
        <w:spacing w:before="240" w:after="240"/>
        <w:rPr>
          <w:lang w:val="el" w:eastAsia="el"/>
        </w:rPr>
      </w:pPr>
      <w:r>
        <w:rPr>
          <w:b/>
          <w:bCs/>
          <w:lang w:val="el" w:eastAsia="el"/>
        </w:rPr>
        <w:t>για την τροποποίηση της απόφασης (ΕΕ) 2020/491 σχετικά με την απαλλαγή από τους εισαγωγικούς δασμούς και από τον ΦΠΑ κατά την εισαγωγή, η οποία χορηγείται για εμπορεύματα που είναι αναγκαία για την καταπολέμηση των επιπτώσεων της έξαρσης της νόσου COVID-19 κατά τη διάρκεια του 2020</w:t>
      </w:r>
    </w:p>
    <w:p>
      <w:pPr>
        <w:pStyle w:val="enacting"/>
        <w:spacing w:before="120" w:after="0"/>
        <w:rPr>
          <w:lang w:val="el" w:eastAsia="el"/>
        </w:rPr>
      </w:pPr>
      <w:r>
        <w:rPr>
          <w:i/>
          <w:iCs/>
          <w:lang w:val="el" w:eastAsia="el"/>
        </w:rPr>
        <w:t>[κοινοποιηθείσα υπό τον αριθμό C(2021) 2693]</w:t>
      </w:r>
    </w:p>
    <w:p>
      <w:pPr>
        <w:pStyle w:val="PreambelText"/>
        <w:spacing w:before="240" w:after="240"/>
        <w:rPr>
          <w:lang w:val="el" w:eastAsia="el"/>
        </w:rPr>
      </w:pPr>
      <w:r>
        <w:rPr>
          <w:lang w:val="el" w:eastAsia="el"/>
        </w:rPr>
        <w:t>Η ΕΥΡΩΠΑΪΚΗ ΕΠΙΤΡΟΠΗ,</w:t>
      </w:r>
    </w:p>
    <w:p>
      <w:pPr>
        <w:pStyle w:val="PreambelText"/>
        <w:spacing w:before="240" w:after="240"/>
        <w:rPr>
          <w:lang w:val="el" w:eastAsia="el"/>
        </w:rPr>
      </w:pPr>
      <w:r>
        <w:rPr>
          <w:lang w:val="el" w:eastAsia="el"/>
        </w:rPr>
        <w:t>Έχοντας υπόψη τη Συνθήκη για τη λειτουργία της Ευρωπαϊκής Ένωσης,</w:t>
      </w:r>
    </w:p>
    <w:p>
      <w:pPr>
        <w:pStyle w:val="PreambelText"/>
        <w:spacing w:before="240" w:after="240"/>
        <w:rPr>
          <w:lang w:val="el" w:eastAsia="el"/>
        </w:rPr>
      </w:pPr>
      <w:r>
        <w:rPr>
          <w:lang w:val="el" w:eastAsia="el"/>
        </w:rPr>
        <w:t>Έχοντας υπόψη την οδηγία 2009/132/ΕΚ του Συμβουλίου, της 19ης Οκτωβρίου 2009, για καθορισμό του πεδίου εφαρμογής του άρθρου 143 στοιχεία β) και γ) της οδηγίας 2006/112/ΕΚ όσον αφορά την απαλλαγή από τον φόρο προστιθέμενης αξίας ορισμένων οριστικών εισαγωγών αγαθών</w:t>
      </w:r>
      <w:hyperlink r:id="rId4" w:history="1">
        <w:r>
          <w:rPr>
            <w:rStyle w:val="Hyperlink"/>
            <w:color w:val="0000EE"/>
            <w:u w:color="0000EE"/>
            <w:lang w:val="el" w:eastAsia="el"/>
          </w:rPr>
          <w:t>(</w:t>
        </w:r>
        <w:r>
          <w:rPr>
            <w:rStyle w:val="Hyperlink"/>
            <w:color w:val="0000EE"/>
            <w:sz w:val="30"/>
            <w:szCs w:val="30"/>
            <w:u w:color="0000EE"/>
            <w:vertAlign w:val="superscript"/>
            <w:lang w:val="el" w:eastAsia="el"/>
          </w:rPr>
          <w:t>1</w:t>
        </w:r>
        <w:r>
          <w:rPr>
            <w:rStyle w:val="Hyperlink"/>
            <w:color w:val="0000EE"/>
            <w:u w:color="0000EE"/>
            <w:lang w:val="el" w:eastAsia="el"/>
          </w:rPr>
          <w:t>)</w:t>
        </w:r>
      </w:hyperlink>
      <w:r>
        <w:rPr>
          <w:lang w:val="el" w:eastAsia="el"/>
        </w:rPr>
        <w:t>, και ιδίως το άρθρο 53 πρώτο εδάφιο,</w:t>
      </w:r>
    </w:p>
    <w:p>
      <w:pPr>
        <w:pStyle w:val="PreambelText"/>
        <w:spacing w:before="240" w:after="240"/>
        <w:rPr>
          <w:lang w:val="el" w:eastAsia="el"/>
        </w:rPr>
      </w:pPr>
      <w:r>
        <w:rPr>
          <w:lang w:val="el" w:eastAsia="el"/>
        </w:rPr>
        <w:t>Έχοντας υπόψη τον κανονισμό (ΕΚ) αριθ. 1186/2009 του Συμβουλίου, της 16ης Νοεμβρίου 2009, για τη θέσπιση του κοινοτικού καθεστώτος τελωνειακών ατελειών</w:t>
      </w:r>
      <w:hyperlink r:id="rId5" w:history="1">
        <w:r>
          <w:rPr>
            <w:rStyle w:val="Hyperlink"/>
            <w:color w:val="0000EE"/>
            <w:u w:color="0000EE"/>
            <w:lang w:val="el" w:eastAsia="el"/>
          </w:rPr>
          <w:t>(</w:t>
        </w:r>
        <w:r>
          <w:rPr>
            <w:rStyle w:val="Hyperlink"/>
            <w:color w:val="0000EE"/>
            <w:sz w:val="30"/>
            <w:szCs w:val="30"/>
            <w:u w:color="0000EE"/>
            <w:vertAlign w:val="superscript"/>
            <w:lang w:val="el" w:eastAsia="el"/>
          </w:rPr>
          <w:t>2</w:t>
        </w:r>
        <w:r>
          <w:rPr>
            <w:rStyle w:val="Hyperlink"/>
            <w:color w:val="0000EE"/>
            <w:u w:color="0000EE"/>
            <w:lang w:val="el" w:eastAsia="el"/>
          </w:rPr>
          <w:t>)</w:t>
        </w:r>
      </w:hyperlink>
      <w:r>
        <w:rPr>
          <w:lang w:val="el" w:eastAsia="el"/>
        </w:rPr>
        <w:t>, και ιδίως το άρθρο 76 πρώτο εδάφιο,</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Με την απόφαση (ΕΕ) 2020/491 της Επιτροπής</w:t>
      </w:r>
      <w:hyperlink r:id="rId6" w:history="1">
        <w:r>
          <w:rPr>
            <w:rStyle w:val="Hyperlink"/>
            <w:color w:val="0000EE"/>
            <w:u w:color="0000EE"/>
            <w:lang w:val="el" w:eastAsia="el"/>
          </w:rPr>
          <w:t>(</w:t>
        </w:r>
        <w:r>
          <w:rPr>
            <w:rStyle w:val="Hyperlink"/>
            <w:color w:val="0000EE"/>
            <w:sz w:val="30"/>
            <w:szCs w:val="30"/>
            <w:u w:color="0000EE"/>
            <w:vertAlign w:val="superscript"/>
            <w:lang w:val="el" w:eastAsia="el"/>
          </w:rPr>
          <w:t>3</w:t>
        </w:r>
        <w:r>
          <w:rPr>
            <w:rStyle w:val="Hyperlink"/>
            <w:color w:val="0000EE"/>
            <w:u w:color="0000EE"/>
            <w:lang w:val="el" w:eastAsia="el"/>
          </w:rPr>
          <w:t>)</w:t>
        </w:r>
      </w:hyperlink>
      <w:r>
        <w:rPr>
          <w:lang w:val="el" w:eastAsia="el"/>
        </w:rPr>
        <w:t>, όπως τροποποιήθηκε με την απόφαση (ΕΕ) 2020/1573</w:t>
      </w:r>
      <w:hyperlink r:id="rId7" w:history="1">
        <w:r>
          <w:rPr>
            <w:rStyle w:val="Hyperlink"/>
            <w:color w:val="0000EE"/>
            <w:u w:color="0000EE"/>
            <w:lang w:val="el" w:eastAsia="el"/>
          </w:rPr>
          <w:t>(</w:t>
        </w:r>
        <w:r>
          <w:rPr>
            <w:rStyle w:val="Hyperlink"/>
            <w:color w:val="0000EE"/>
            <w:sz w:val="30"/>
            <w:szCs w:val="30"/>
            <w:u w:color="0000EE"/>
            <w:vertAlign w:val="superscript"/>
            <w:lang w:val="el" w:eastAsia="el"/>
          </w:rPr>
          <w:t>4</w:t>
        </w:r>
        <w:r>
          <w:rPr>
            <w:rStyle w:val="Hyperlink"/>
            <w:color w:val="0000EE"/>
            <w:u w:color="0000EE"/>
            <w:lang w:val="el" w:eastAsia="el"/>
          </w:rPr>
          <w:t>)</w:t>
        </w:r>
      </w:hyperlink>
      <w:r>
        <w:rPr>
          <w:lang w:val="el" w:eastAsia="el"/>
        </w:rPr>
        <w:t>, χορηγείται απαλλαγή από τους εισαγωγικούς δασμούς και από τον φόρο προστιθέμενης αξίας (στο εξής: ΦΠΑ) κατά την εισαγωγή για εμπορεύματα που είναι αναγκαία για την καταπολέμηση των επιπτώσεων της έξαρσης της νόσου COVID-19 έως τις 30 Απριλίου 2021.</w:t>
      </w:r>
    </w:p>
    <w:p>
      <w:pPr>
        <w:pStyle w:val="PreambelText"/>
        <w:spacing w:before="240" w:after="240"/>
        <w:rPr>
          <w:lang w:val="el" w:eastAsia="el"/>
        </w:rPr>
      </w:pPr>
      <w:r>
        <w:rPr>
          <w:lang w:val="el" w:eastAsia="el"/>
        </w:rPr>
        <w:t>(2) Στις 3 Μαρτίου 2021, η Επιτροπή προέβη σε διαβούλευση με τα κράτη μέλη σύμφωνα με την αιτιολογική σκέψη 5 της απόφασης (ΕΕ) 2020/491, σχετικά με την ανάγκη εκ νέου παράτασης του μέτρου, και στη συνέχεια τα κράτη μέλη ζήτησαν την παράταση της απαλλαγής.</w:t>
      </w:r>
    </w:p>
    <w:p>
      <w:pPr>
        <w:pStyle w:val="PreambelText"/>
        <w:spacing w:before="240" w:after="240"/>
        <w:rPr>
          <w:lang w:val="el" w:eastAsia="el"/>
        </w:rPr>
      </w:pPr>
      <w:r>
        <w:rPr>
          <w:lang w:val="el" w:eastAsia="el"/>
        </w:rPr>
        <w:t>(3) Οι εισαγωγές που πραγματοποιήθηκαν από τα κράτη μέλη βάσει της απόφασης (ΕΕ) 2020/491 επέτρεψαν στους δημόσιους οργανισμούς ή στους εγκεκριμένους από τις αρμόδιες αρχές των κρατών μελών οργανισμούς να έχουν πρόσβαση σε αναγκαία φάρμακα, ιατρικό εξοπλισμό και εξοπλισμό ατομικής προστασίας, για τα οποία υπάρχει έλλειψη. Από τις εμπορικές στατιστικές για τα εν λόγω εμπορεύματα προκύπτει ότι οι σχετικές εισαγωγές εμφανίζουν πτωτική τάση, αλλά παραμένουν σημαντικές. Παρά την έναρξη του εμβολιασμού σε όλα τα κράτη μέλη και τη λήψη ορισμένων μέτρων για την πρόληψη της εξάπλωσης του ιού, ο αριθμός των λοιμώξεων από τη νόσο COVID-19 στα κράτη μέλη εξακολουθεί να συνιστά κίνδυνο για τη δημόσια υγεία. Δεδομένου ότι στα κράτη μέλη εξακολουθούν να αναφέρονται ελλείψεις εμπορευμάτων που είναι αναγκαία για την καταπολέμηση της πανδημίας COVID-19, είναι απαραίτητο να παραταθεί η περίοδος εφαρμογής της απαλλαγής από εισαγωγικούς δασμούς και από τον ΦΠΑ που προβλέπεται στην απόφαση (ΕΕ) 2020/491.</w:t>
      </w:r>
    </w:p>
    <w:p>
      <w:pPr>
        <w:pStyle w:val="PreambelText"/>
        <w:spacing w:before="240" w:after="240"/>
        <w:rPr>
          <w:lang w:val="el" w:eastAsia="el"/>
        </w:rPr>
      </w:pPr>
      <w:r>
        <w:rPr>
          <w:lang w:val="el" w:eastAsia="el"/>
        </w:rPr>
        <w:t>(4) Κατά συνέπεια, η προθεσμία για την υποβολή εκθέσεων από τα κράτη μέλη σε σχέση με την εκπλήρωση των υποχρεώσεων που απορρέουν από την απόφαση (ΕΕ) 2020/491 θα πρέπει επίσης να παραταθεί.</w:t>
      </w:r>
    </w:p>
    <w:p>
      <w:pPr>
        <w:pStyle w:val="PreambelText"/>
        <w:spacing w:before="240" w:after="240"/>
        <w:rPr>
          <w:lang w:val="el" w:eastAsia="el"/>
        </w:rPr>
      </w:pPr>
      <w:r>
        <w:rPr>
          <w:lang w:val="el" w:eastAsia="el"/>
        </w:rPr>
        <w:t>(5) Στις 25 Μαρτίου 2021, πραγματοποιήθηκαν διαβουλεύσεις με τα κράτη μέλη σχετικά με την αιτούμενη παράταση σύμφωνα με το άρθρο 76 πρώτο εδάφιο του κανονισμού (ΕΚ) αριθ. 1186/2009 και το άρθρο 53 πρώτο εδάφιο της οδηγίας 2009/132/ΕΚ.</w:t>
      </w:r>
    </w:p>
    <w:p>
      <w:pPr>
        <w:pStyle w:val="PreambelText"/>
        <w:spacing w:before="240" w:after="240"/>
        <w:rPr>
          <w:lang w:val="el" w:eastAsia="el"/>
        </w:rPr>
      </w:pPr>
      <w:r>
        <w:rPr>
          <w:lang w:val="el" w:eastAsia="el"/>
        </w:rPr>
        <w:t>(6) Η απόφαση (ΕΕ) 2020/491 θα πρέπει, επομένως, να τροποποιηθεί αναλόγως,</w:t>
      </w:r>
    </w:p>
    <w:p>
      <w:pPr>
        <w:pStyle w:val="PreambelText"/>
        <w:spacing w:before="240" w:after="240"/>
        <w:rPr>
          <w:lang w:val="el" w:eastAsia="el"/>
        </w:rPr>
      </w:pPr>
      <w:r>
        <w:rPr>
          <w:lang w:val="el" w:eastAsia="el"/>
        </w:rPr>
        <w:t>(1) ΕΕ L 292 της 10.11.2009, σ. 5.</w:t>
      </w:r>
    </w:p>
    <w:p>
      <w:pPr>
        <w:pStyle w:val="PreambelText"/>
        <w:spacing w:before="240" w:after="240"/>
        <w:rPr>
          <w:lang w:val="el" w:eastAsia="el"/>
        </w:rPr>
      </w:pPr>
      <w:r>
        <w:rPr>
          <w:lang w:val="el" w:eastAsia="el"/>
        </w:rPr>
        <w:t>(2) ΕΕ L 324 της 10.12.2009, σ. 23.</w:t>
      </w:r>
    </w:p>
    <w:p>
      <w:pPr>
        <w:pStyle w:val="PreambelText"/>
        <w:spacing w:before="240" w:after="240"/>
        <w:rPr>
          <w:lang w:val="el" w:eastAsia="el"/>
        </w:rPr>
      </w:pPr>
      <w:r>
        <w:rPr>
          <w:lang w:val="el" w:eastAsia="el"/>
        </w:rPr>
        <w:t>(3) Απόφαση (ΕΕ) 2020/491 της Επιτροπής, της 3ης Απριλίου 2020, σχετικά με την απαλλαγή από τους εισαγωγικούς δασμούς και από τον ΦΠΑ κατά την εισαγωγή, η οποία χορηγείται για εμπορεύματα που είναι αναγκαία για την καταπολέμηση των επιπτώσεων της έξαρσης της νόσου COVID-19 κατά τη διάρκεια του 2020 (ΕΕ L 103I της 3.4.2020, σ. 1).</w:t>
      </w:r>
    </w:p>
    <w:p>
      <w:pPr>
        <w:pStyle w:val="PreambelText"/>
        <w:spacing w:before="240" w:after="240"/>
        <w:rPr>
          <w:lang w:val="el" w:eastAsia="el"/>
        </w:rPr>
      </w:pPr>
      <w:r>
        <w:rPr>
          <w:lang w:val="el" w:eastAsia="el"/>
        </w:rPr>
        <w:t>(4) Απόφαση (ΕΕ) 2020/1573 της Επιτροπής, της 28ης Οκτωβρίου 2020, για την τροποποίηση της απόφασης (ΕΕ) 2020/491 σχετικά με την απαλλαγή από τους εισαγωγικούς δασμούς και από τον ΦΠΑ κατά την εισαγωγή, η οποία χορηγείται για εμπορεύματα που είναι αναγκαία για την καταπολέμηση των επιπτώσεων της έξαρσης της νόσου COVID-19 κατά τη διάρκεια του 2020 (ΕΕ L 359 της 29.10.2020, σ. 8).</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rStyle w:val="article-num"/>
          <w:i/>
          <w:iCs/>
          <w:lang w:val="el" w:eastAsia="el"/>
        </w:rPr>
        <w:t>Άρθρο 1</w:t>
      </w:r>
    </w:p>
    <w:p>
      <w:pPr>
        <w:spacing w:before="240" w:after="240"/>
        <w:rPr>
          <w:lang w:val="el" w:eastAsia="el"/>
        </w:rPr>
      </w:pPr>
      <w:r>
        <w:rPr>
          <w:lang w:val="el" w:eastAsia="el"/>
        </w:rPr>
        <w:t>Η απόφαση (ΕΕ) 2020/491 τροποποιείται ως εξής:</w:t>
      </w:r>
    </w:p>
    <w:p>
      <w:pPr>
        <w:spacing w:before="240" w:after="240"/>
        <w:rPr>
          <w:lang w:val="el" w:eastAsia="el"/>
        </w:rPr>
      </w:pPr>
      <w:r>
        <w:rPr>
          <w:lang w:val="el" w:eastAsia="el"/>
        </w:rPr>
        <w:t>1) στο άρθρο 2, το εισαγωγικό μέρος αντικαθίσταται από το ακόλουθο κείμενο:</w:t>
      </w:r>
    </w:p>
    <w:p>
      <w:pPr>
        <w:spacing w:before="240" w:after="240"/>
        <w:rPr>
          <w:lang w:val="el" w:eastAsia="el"/>
        </w:rPr>
      </w:pPr>
      <w:r>
        <w:rPr>
          <w:lang w:val="el" w:eastAsia="el"/>
        </w:rPr>
        <w:t>«Τα κράτη μέλη κοινοποιούν στην Επιτροπή, το αργότερο έως τις 30 Απριλίου 2022, τις ακόλουθες πληροφορίες:»·</w:t>
      </w:r>
    </w:p>
    <w:p>
      <w:pPr>
        <w:spacing w:before="240" w:after="240"/>
        <w:rPr>
          <w:lang w:val="el" w:eastAsia="el"/>
        </w:rPr>
      </w:pPr>
      <w:r>
        <w:rPr>
          <w:lang w:val="el" w:eastAsia="el"/>
        </w:rPr>
        <w:t>2) στο άρθρο 3, το πρώτο εδάφιο αντικαθίσταται από το ακόλουθο κείμενο:</w:t>
      </w:r>
    </w:p>
    <w:p>
      <w:pPr>
        <w:spacing w:before="240" w:after="240"/>
        <w:rPr>
          <w:lang w:val="el" w:eastAsia="el"/>
        </w:rPr>
      </w:pPr>
      <w:r>
        <w:rPr>
          <w:lang w:val="el" w:eastAsia="el"/>
        </w:rPr>
        <w:t>«Το άρθρο 1 εφαρμόζεται στις εισαγωγές που πραγματοποιούνται από τις 30 Ιανουαρίου 2020 έως τις 31 Δεκεμβρίου 2021.».</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lang w:val="el" w:eastAsia="el"/>
        </w:rPr>
        <w:t>Η παρούσα απόφαση απευθύνεται στα κράτη μέλη.</w:t>
      </w:r>
    </w:p>
    <w:p>
      <w:pPr>
        <w:spacing w:before="240" w:after="240"/>
        <w:rPr>
          <w:lang w:val="el" w:eastAsia="el"/>
        </w:rPr>
      </w:pPr>
      <w:r>
        <w:rPr>
          <w:lang w:val="el" w:eastAsia="el"/>
        </w:rPr>
        <w:t>Βρυξέλλες, 19 Απριλίου 2021.</w:t>
      </w:r>
    </w:p>
    <w:p>
      <w:pPr>
        <w:spacing w:before="240" w:after="240"/>
        <w:rPr>
          <w:lang w:val="el" w:eastAsia="el"/>
        </w:rPr>
      </w:pPr>
      <w:r>
        <w:rPr>
          <w:i/>
          <w:iCs/>
          <w:lang w:val="el" w:eastAsia="el"/>
        </w:rPr>
        <w:t>Για την Επιτροπή</w:t>
      </w:r>
    </w:p>
    <w:p>
      <w:pPr>
        <w:spacing w:before="240" w:after="240"/>
        <w:rPr>
          <w:lang w:val="el" w:eastAsia="el"/>
        </w:rPr>
      </w:pPr>
      <w:r>
        <w:rPr>
          <w:lang w:val="el" w:eastAsia="el"/>
        </w:rPr>
        <w:t>Paolo GENTILONI</w:t>
      </w:r>
      <w:r>
        <w:rPr>
          <w:i/>
          <w:iCs/>
          <w:lang w:val="el" w:eastAsia="el"/>
        </w:rPr>
        <w:t>Μέλος της Επιτροπής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1)" TargetMode="External" /><Relationship Id="rId5" Type="http://schemas.openxmlformats.org/officeDocument/2006/relationships/hyperlink" Target="(2)" TargetMode="External" /><Relationship Id="rId6" Type="http://schemas.openxmlformats.org/officeDocument/2006/relationships/hyperlink" Target="(3)" TargetMode="External" /><Relationship Id="rId7" Type="http://schemas.openxmlformats.org/officeDocument/2006/relationships/hyperlink" Target="(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