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56591 ΕΞ 14-5-2021</w:t>
      </w:r>
    </w:p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Καθορισμός καθηκόντων και αρμοδιοτήτων των προσώπων που ασκούν ή άσκησαν σημαντικό δημόσιο λειτούργημα και ρύθμιση ειδικότερων ζητημάτων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Αριθμ. 56591 ΕΞ 2021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(ΦΕΚ Β' 2019/17-05-2021)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ΠΡΟΕΔΡΟΣ ΤΗΣ ΒΟΥΛΗΣ ΤΩΝ ΕΛΛΗΝΩΝ ΚΑΙ Ο ΥΦΥΠΟΥΡΓΟΣ ΟΙΚΟΝΟΜΙΚΩΝ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Τις διατάξεις: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lang w:val="el" w:eastAsia="el"/>
        </w:rPr>
        <w:t>Της παρ. 2 του άρθρου 29 και της παρ. 1 του άρθρου 65 του Συντάγματος,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lang w:val="el" w:eastAsia="el"/>
        </w:rPr>
        <w:t>του άρθρου 11 (Μέρος Κοινοβουλευτικό) και των άρθρων 1, 30Γ, 97, 100 και 164ΣΤ, καθώς και του εδαφ. ζ της παρ. 1 του άρθρου 2 του υπ’ αρ. 3 Ειδικού Κανονισμού Λειτουργίας της Ειδικής Υπηρεσίας Επιτροπής Ελέγχου Δηλώσεων Περιουσιακής Κατάστασης, του Κανονισμού της Βουλής (Μέρος Β’, Α΄ 51/1997), όπως ισχύει,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γ)</w:t>
      </w:r>
      <w:r>
        <w:rPr>
          <w:lang w:val="en" w:eastAsia="en"/>
        </w:rPr>
        <w:tab/>
      </w:r>
      <w:r>
        <w:rPr>
          <w:lang w:val="el" w:eastAsia="el"/>
        </w:rPr>
        <w:t>της παρ. 4 του άρθρου 18 του ν. 4557/2018 (Α’ 139), όπως τροποποιήθηκε με τον ν. 4734/2020 (Α’ 196),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δ)</w:t>
      </w:r>
      <w:r>
        <w:rPr>
          <w:lang w:val="en" w:eastAsia="en"/>
        </w:rPr>
        <w:tab/>
      </w:r>
      <w:r>
        <w:rPr>
          <w:lang w:val="el" w:eastAsia="el"/>
        </w:rPr>
        <w:t>των άρθρων 75 έως 83 του ν. 4727/2020 (Α’ 184),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ε)</w:t>
      </w:r>
      <w:r>
        <w:rPr>
          <w:lang w:val="en" w:eastAsia="en"/>
        </w:rPr>
        <w:tab/>
      </w:r>
      <w:r>
        <w:rPr>
          <w:lang w:val="el" w:eastAsia="el"/>
        </w:rPr>
        <w:t>του ν. 3469/2006 «Εθνικό Τυπογραφείο, Εφημερίς της Κυβερνήσεως και λοιπές διατάξεις» (Α’ 131),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στ)</w:t>
      </w:r>
      <w:r>
        <w:rPr>
          <w:lang w:val="en" w:eastAsia="en"/>
        </w:rPr>
        <w:tab/>
      </w:r>
      <w:r>
        <w:rPr>
          <w:lang w:val="el" w:eastAsia="el"/>
        </w:rPr>
        <w:t>του άρθρου 1 και της παρ. 4 του άρθρου 3Α του ν. 3213/2003 (Α’ 309),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ζ)</w:t>
      </w:r>
      <w:r>
        <w:rPr>
          <w:lang w:val="en" w:eastAsia="en"/>
        </w:rPr>
        <w:tab/>
      </w:r>
      <w:r>
        <w:rPr>
          <w:lang w:val="el" w:eastAsia="el"/>
        </w:rPr>
        <w:t>του π.δ. 83/2019 «Διορισμός Αντιπροέδρου της Κυβέρνησης, Υπουργών, Αναπληρωτών Υπουργών και Υφυπουργών» (Α’ 121),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η)</w:t>
      </w:r>
      <w:r>
        <w:rPr>
          <w:lang w:val="en" w:eastAsia="en"/>
        </w:rPr>
        <w:tab/>
      </w:r>
      <w:r>
        <w:rPr>
          <w:lang w:val="el" w:eastAsia="el"/>
        </w:rPr>
        <w:t>του π.δ. 142/2017 «Οργανισμός Υπουργείου Οικονομικών» (Α’ 181),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θ)</w:t>
      </w:r>
      <w:r>
        <w:rPr>
          <w:lang w:val="en" w:eastAsia="en"/>
        </w:rPr>
        <w:tab/>
      </w:r>
      <w:r>
        <w:rPr>
          <w:lang w:val="el" w:eastAsia="el"/>
        </w:rPr>
        <w:t>της υπ’ αρ. 338/18.7.2019 κοινής απόφασης του Πρωθυπουργού και του Υπουργού Οικονομικών «Ανάθεση αρμοδιοτήτων στον Υφυπουργό Οικονομικών Γεώργιο Ζαββό» (Β’ 3051) και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ι)</w:t>
      </w:r>
      <w:r>
        <w:rPr>
          <w:lang w:val="en" w:eastAsia="en"/>
        </w:rPr>
        <w:tab/>
      </w:r>
      <w:r>
        <w:rPr>
          <w:lang w:val="el" w:eastAsia="el"/>
        </w:rPr>
        <w:t>του άρθρου 90 του Κώδικα νομοθεσίας για την Κυβέρνηση και τα Κυβερνητικά όργανα (π.δ. 63/2005, Α’ 98), όπως διατηρήθηκε σε ισχύ με την παρ. 22 του άρθρου 119 του ν. 4622/2019 (Α΄ 133).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Την υπό στοιχεία 38652ΕΙ2021/31-03-2021 εισήγηση της Ειδικής Υπηρεσίας Επιτροπής Ελέγχου Δηλώσεων Περιουσιακής Κατάστασης της Βουλής των Ελλήνων.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Την ανάγκη καθορισμού των καθηκόντων και αρμοδιοτήτων όσων ασκούν ή άσκησαν σημαντικό δημόσιο λειτούργημα και την ανάγκη ρύθμισης των σχετικών ειδικότερων θεμάτων.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Το γεγονός ότι από την έκδοση της παρούσας δεν προκαλείται δαπάνη σε βάρος του κρατικού προϋπολογισμού οικονομικού έτους 2021,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αποφασίζουμε: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Α. Την κατάρτιση εθνικού καταλόγου, που περιλαμβάνει όσους ασκούν ή άσκησαν σημαντικό δημόσιο λειτούργημα στην Ελλάδα κατά την άσκηση των καθηκόντων και αρμοδιοτήτων τους, ως ακολούθως:</w:t>
      </w:r>
      <w:r>
        <w:rPr>
          <w:rStyle w:val="Hyperlink"/>
          <w:color w:val="000000"/>
          <w:sz w:val="20"/>
          <w:szCs w:val="20"/>
          <w:u w:val="none" w:color="0000EE"/>
          <w:vertAlign w:val="superscript"/>
          <w:lang w:val="el" w:eastAsia="el"/>
        </w:rPr>
        <w:footnoteReference w:id="2"/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lang w:val="el" w:eastAsia="el"/>
        </w:rPr>
        <w:t>ο Πρόεδρος της Δημοκρατίας,</w:t>
      </w:r>
      <w:r>
        <w:rPr>
          <w:rStyle w:val="Hyperlink"/>
          <w:color w:val="000000"/>
          <w:sz w:val="20"/>
          <w:szCs w:val="20"/>
          <w:u w:val="none" w:color="0000EE"/>
          <w:vertAlign w:val="superscript"/>
          <w:lang w:val="el" w:eastAsia="el"/>
        </w:rPr>
        <w:footnoteReference w:id="3"/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lang w:val="el" w:eastAsia="el"/>
        </w:rPr>
        <w:t>ο Πρωθυπουργός, οι Αντιπρόεδροι της Κυβέρνησης, Υπουργοί, Αναπληρωτές Υπουργοί και Υφυπουργοί, Γενικοί και Ειδικοί Γραμματείς,</w:t>
      </w:r>
      <w:r>
        <w:rPr>
          <w:rStyle w:val="Hyperlink"/>
          <w:color w:val="000000"/>
          <w:sz w:val="20"/>
          <w:szCs w:val="20"/>
          <w:u w:val="none" w:color="0000EE"/>
          <w:vertAlign w:val="superscript"/>
          <w:lang w:val="el" w:eastAsia="el"/>
        </w:rPr>
        <w:footnoteReference w:id="4"/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γ)</w:t>
      </w:r>
      <w:r>
        <w:rPr>
          <w:lang w:val="en" w:eastAsia="en"/>
        </w:rPr>
        <w:tab/>
      </w:r>
      <w:r>
        <w:rPr>
          <w:lang w:val="el" w:eastAsia="el"/>
        </w:rPr>
        <w:t>Βουλευτές του Ελληνικού Κοινοβουλίου,</w:t>
      </w:r>
      <w:r>
        <w:rPr>
          <w:rStyle w:val="Hyperlink"/>
          <w:color w:val="000000"/>
          <w:sz w:val="20"/>
          <w:szCs w:val="20"/>
          <w:u w:val="none" w:color="0000EE"/>
          <w:vertAlign w:val="superscript"/>
          <w:lang w:val="el" w:eastAsia="el"/>
        </w:rPr>
        <w:footnoteReference w:id="5"/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δ)</w:t>
      </w:r>
      <w:r>
        <w:rPr>
          <w:lang w:val="en" w:eastAsia="en"/>
        </w:rPr>
        <w:tab/>
      </w:r>
      <w:r>
        <w:rPr>
          <w:lang w:val="el" w:eastAsia="el"/>
        </w:rPr>
        <w:t>Αρχηγοί και οικονομικοί υπεύθυνοι των πολιτικών κομμάτων που εκπροσωπούνται στη Βουλή των Ελλήνων ή στο Ευρωπαϊκό Κοινοβούλιο,</w:t>
      </w:r>
      <w:r>
        <w:rPr>
          <w:rStyle w:val="Hyperlink"/>
          <w:color w:val="000000"/>
          <w:sz w:val="20"/>
          <w:szCs w:val="20"/>
          <w:u w:val="none" w:color="0000EE"/>
          <w:vertAlign w:val="superscript"/>
          <w:lang w:val="el" w:eastAsia="el"/>
        </w:rPr>
        <w:footnoteReference w:id="6"/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ε)</w:t>
      </w:r>
      <w:r>
        <w:rPr>
          <w:lang w:val="en" w:eastAsia="en"/>
        </w:rPr>
        <w:tab/>
      </w:r>
      <w:r>
        <w:rPr>
          <w:lang w:val="el" w:eastAsia="el"/>
        </w:rPr>
        <w:t>Περιφερειάρχες και Αντιπεριφερειάρχες, Δήμαρχοι και Αντιδήμαρχοι,</w:t>
      </w:r>
      <w:r>
        <w:rPr>
          <w:rStyle w:val="Hyperlink"/>
          <w:color w:val="000000"/>
          <w:sz w:val="20"/>
          <w:szCs w:val="20"/>
          <w:u w:val="none" w:color="0000EE"/>
          <w:vertAlign w:val="superscript"/>
          <w:lang w:val="el" w:eastAsia="el"/>
        </w:rPr>
        <w:footnoteReference w:id="7"/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στ)</w:t>
      </w:r>
      <w:r>
        <w:rPr>
          <w:lang w:val="en" w:eastAsia="en"/>
        </w:rPr>
        <w:tab/>
      </w:r>
      <w:r>
        <w:rPr>
          <w:lang w:val="el" w:eastAsia="el"/>
        </w:rPr>
        <w:t xml:space="preserve">Δικαστικοί και Εισαγγελικοί λειτουργοί του Αρείου Πάγου, της Εισαγγελίας του Αρείου Πάγου, του Συμβουλίου της Επικρατείας, του Δικαστικού Σώματος των Ενόπλων Δυνάμεων και του Ανώτατου Ειδικού Δικαστηρίου, </w:t>
      </w:r>
      <w:r>
        <w:rPr>
          <w:rStyle w:val="Hyperlink"/>
          <w:color w:val="000000"/>
          <w:sz w:val="20"/>
          <w:szCs w:val="20"/>
          <w:u w:val="none" w:color="0000EE"/>
          <w:vertAlign w:val="superscript"/>
          <w:lang w:val="el" w:eastAsia="el"/>
        </w:rPr>
        <w:footnoteReference w:id="8"/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ζ)</w:t>
      </w:r>
      <w:r>
        <w:rPr>
          <w:lang w:val="en" w:eastAsia="en"/>
        </w:rPr>
        <w:tab/>
      </w:r>
      <w:r>
        <w:rPr>
          <w:lang w:val="el" w:eastAsia="el"/>
        </w:rPr>
        <w:t>Δικαστικοί λειτουργοί του Ελεγκτικού Συνεδρίου και της Γενικής Επιτροπείας της Επικρατείας του Ελεγκτικού Συνεδρίου,</w:t>
      </w:r>
      <w:r>
        <w:rPr>
          <w:rStyle w:val="Hyperlink"/>
          <w:color w:val="000000"/>
          <w:sz w:val="20"/>
          <w:szCs w:val="20"/>
          <w:u w:val="none" w:color="0000EE"/>
          <w:vertAlign w:val="superscript"/>
          <w:lang w:val="el" w:eastAsia="el"/>
        </w:rPr>
        <w:footnoteReference w:id="9"/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η)</w:t>
      </w:r>
      <w:r>
        <w:rPr>
          <w:lang w:val="en" w:eastAsia="en"/>
        </w:rPr>
        <w:tab/>
      </w:r>
      <w:r>
        <w:rPr>
          <w:lang w:val="el" w:eastAsia="el"/>
        </w:rPr>
        <w:t>ο Διοικητής, οι Υποδιοικητές, Διευθύνοντες Σύμβουλοι και τα μέλη των Συμβουλίων της Τράπεζας της Ελλάδος,</w:t>
      </w:r>
      <w:r>
        <w:rPr>
          <w:rStyle w:val="Hyperlink"/>
          <w:color w:val="000000"/>
          <w:sz w:val="20"/>
          <w:szCs w:val="20"/>
          <w:u w:val="none" w:color="0000EE"/>
          <w:vertAlign w:val="superscript"/>
          <w:lang w:val="el" w:eastAsia="el"/>
        </w:rPr>
        <w:footnoteReference w:id="10"/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θ)</w:t>
      </w:r>
      <w:r>
        <w:rPr>
          <w:lang w:val="en" w:eastAsia="en"/>
        </w:rPr>
        <w:tab/>
      </w:r>
      <w:r>
        <w:rPr>
          <w:lang w:val="el" w:eastAsia="el"/>
        </w:rPr>
        <w:t>Πρέσβεις, επιτετραμμένοι διπλωμάτες και πρόξενοι, ι) Ανώτατοι Αξιωματικοί των Ενόπλων Δυνάμεων,</w:t>
      </w:r>
      <w:r>
        <w:rPr>
          <w:rStyle w:val="Hyperlink"/>
          <w:color w:val="000000"/>
          <w:sz w:val="20"/>
          <w:szCs w:val="20"/>
          <w:u w:val="none" w:color="0000EE"/>
          <w:vertAlign w:val="superscript"/>
          <w:lang w:val="el" w:eastAsia="el"/>
        </w:rPr>
        <w:footnoteReference w:id="11"/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ια)</w:t>
      </w:r>
      <w:r>
        <w:rPr>
          <w:lang w:val="en" w:eastAsia="en"/>
        </w:rPr>
        <w:tab/>
      </w:r>
      <w:r>
        <w:rPr>
          <w:lang w:val="el" w:eastAsia="el"/>
        </w:rPr>
        <w:t>Πρόεδροι, Αντιπρόεδροι, Διευθύνοντες Σύμβουλοι, Εκτελεστικοί Γραμματείς, Εντεταλμένοι Σύμβουλοι, μέλη Διοικητικών ή άλλων Συμβουλίων ή Επιτροπών, συμπεριλαμβανομένων των αναπληρωτών τους, των πάσης φύσεως επιχειρήσεων οι οποίες ανήκουν στον Δημόσιο Τομέα, κατά τον ορισμό του άρθρου 14 του ν. 4270/2014, ή εποπτεύονται από αυτόν, ή τους ασκείται από αυτόν διαχειριστικός, διοικητικός ή εποπτικός έλεγχος,</w:t>
      </w:r>
      <w:r>
        <w:rPr>
          <w:rStyle w:val="Hyperlink"/>
          <w:color w:val="000000"/>
          <w:sz w:val="20"/>
          <w:szCs w:val="20"/>
          <w:u w:val="none" w:color="0000EE"/>
          <w:vertAlign w:val="superscript"/>
          <w:lang w:val="el" w:eastAsia="el"/>
        </w:rPr>
        <w:footnoteReference w:id="12"/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ιβ)</w:t>
      </w:r>
      <w:r>
        <w:rPr>
          <w:lang w:val="en" w:eastAsia="en"/>
        </w:rPr>
        <w:tab/>
      </w:r>
      <w:r>
        <w:rPr>
          <w:lang w:val="el" w:eastAsia="el"/>
        </w:rPr>
        <w:t>Μέλη Διοικητικών Συμβουλίων, Διευθυντές, Αναπληρωτές Διευθυντές και πρόσωπα που κατέχουν ισοδύναμη θέση σε Διεθνείς Οργανισμούς.</w:t>
      </w:r>
      <w:r>
        <w:rPr>
          <w:rStyle w:val="Hyperlink"/>
          <w:color w:val="000000"/>
          <w:sz w:val="20"/>
          <w:szCs w:val="20"/>
          <w:u w:val="none" w:color="0000EE"/>
          <w:vertAlign w:val="superscript"/>
          <w:lang w:val="el" w:eastAsia="el"/>
        </w:rPr>
        <w:footnoteReference w:id="13"/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Β. Ο εθνικός κατάλογος σημαντικών δημόσιων λειτουργημάτων δεν συμπεριλαμβάνει ενδιάμεσες ή χαμηλές βαθμίδες της υπαλληλικής ιεραρχίας. Η ιδιότητα της άσκησης σημαντικού δημόσιου λειτουργήματος λαμβάνεται υπόψη για λόγους άσκησης ενισχυμένων μέτρων δέουσας επιμέλειας για χρονικό διάστημα τουλάχιστον ενός (1) έτους μετά την απώλεια της θέσης ή έως ότου κρίνεται από τα υπόχρεα πρόσωπα ότι ενέχονται λόγοι εφαρμογής τους.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Γ. Ο εθνικός κατάλογος σημαντικών δημόσιων λειτουργημάτων αναρτάται στην ιστοσελίδα του Υπουργείου Οικονομικών και κοινοποιείται στην Ευρωπαϊκή Επιτροπή.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 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επικαιροποίηση του εθνικού καταλόγου σημαντικών δημόσιων λειτουργημάτων λαμβάνει χώρα κατόπιν εκ νέου υποβολής σχετικής εισήγησης της Ειδικής Υπηρεσίας Επιτροπής Ελέγχου Δηλώσεων Περιουσιακής Κατάστασης της Βουλής.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Δ. Η παρούσα απόφαση ισχύει από τη δημοσίευσή της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 14 Μαΐου 2021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Ο Πρόεδρος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ΚΩΝΣΤΑΝΤΙΝΟΣ ΤΑΣΟΥΛΑΣ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Υφυπουργός της Βουλής των Ελλήνων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ΓΕΩΡΓΙΟΣ ΖΑΒΒΟΣ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D61873" w:rsidP="006C1F18" w14:paraId="208A6F8D" w14:textId="77777777">
      <w:pPr>
        <w:spacing w:line="240" w:lineRule="auto"/>
      </w:pPr>
      <w:r>
        <w:separator/>
      </w:r>
    </w:p>
  </w:footnote>
  <w:footnote w:type="continuationSeparator" w:id="1">
    <w:p w:rsidR="00D61873" w:rsidP="006C1F18" w14:paraId="0F345CB1" w14:textId="77777777">
      <w:pPr>
        <w:spacing w:line="240" w:lineRule="auto"/>
      </w:pPr>
      <w:r>
        <w:continuationSeparator/>
      </w:r>
    </w:p>
  </w:footnote>
  <w:footnote w:id="2">
    <w:p>
      <w:pPr>
        <w:pStyle w:val="Footnotes"/>
        <w:spacing w:before="240" w:after="240"/>
        <w:rPr>
          <w:rStyle w:val="Hyperlink"/>
          <w:color w:val="0000EE"/>
          <w:sz w:val="20"/>
          <w:szCs w:val="20"/>
          <w:u w:val="single" w:color="0000EE"/>
          <w:vertAlign w:val="superscript"/>
          <w:lang w:val="el" w:eastAsia="el"/>
        </w:rPr>
      </w:pPr>
      <w:r>
        <w:rPr>
          <w:rStyle w:val="FootnoteReference"/>
          <w:color w:val="000000"/>
          <w:sz w:val="20"/>
          <w:szCs w:val="20"/>
          <w:u w:val="none" w:color="0000EE"/>
          <w:vertAlign w:val="superscript"/>
          <w:lang w:val="el" w:eastAsia="el"/>
        </w:rPr>
        <w:footnoteRef/>
      </w:r>
      <w:r>
        <w:rPr>
          <w:lang w:val="el" w:eastAsia="el"/>
        </w:rPr>
        <w:t>Τροποποίηση 21959 ΕΞ 2022 17.02.2022</w:t>
      </w:r>
    </w:p>
  </w:footnote>
  <w:footnote w:id="3">
    <w:p>
      <w:pPr>
        <w:pStyle w:val="Footnotes"/>
        <w:spacing w:before="240" w:after="240"/>
        <w:rPr>
          <w:rStyle w:val="Hyperlink"/>
          <w:color w:val="0000EE"/>
          <w:sz w:val="20"/>
          <w:szCs w:val="20"/>
          <w:u w:val="single" w:color="0000EE"/>
          <w:vertAlign w:val="superscript"/>
          <w:lang w:val="el" w:eastAsia="el"/>
        </w:rPr>
      </w:pPr>
      <w:r>
        <w:rPr>
          <w:rStyle w:val="FootnoteReference"/>
          <w:color w:val="000000"/>
          <w:sz w:val="20"/>
          <w:szCs w:val="20"/>
          <w:u w:val="none" w:color="0000EE"/>
          <w:vertAlign w:val="superscript"/>
          <w:lang w:val="el" w:eastAsia="el"/>
        </w:rPr>
        <w:footnoteRef/>
      </w:r>
      <w:r>
        <w:rPr>
          <w:lang w:val="el" w:eastAsia="el"/>
        </w:rPr>
        <w:t>Τροποποίηση 21959 ΕΞ 2022 17.02.2022</w:t>
      </w:r>
    </w:p>
  </w:footnote>
  <w:footnote w:id="4">
    <w:p>
      <w:pPr>
        <w:pStyle w:val="Footnotes"/>
        <w:spacing w:before="240" w:after="240"/>
        <w:rPr>
          <w:rStyle w:val="Hyperlink"/>
          <w:color w:val="0000EE"/>
          <w:sz w:val="20"/>
          <w:szCs w:val="20"/>
          <w:u w:val="single" w:color="0000EE"/>
          <w:vertAlign w:val="superscript"/>
          <w:lang w:val="el" w:eastAsia="el"/>
        </w:rPr>
      </w:pPr>
      <w:r>
        <w:rPr>
          <w:rStyle w:val="FootnoteReference"/>
          <w:color w:val="000000"/>
          <w:sz w:val="20"/>
          <w:szCs w:val="20"/>
          <w:u w:val="none" w:color="0000EE"/>
          <w:vertAlign w:val="superscript"/>
          <w:lang w:val="el" w:eastAsia="el"/>
        </w:rPr>
        <w:footnoteRef/>
      </w:r>
      <w:r>
        <w:rPr>
          <w:lang w:val="el" w:eastAsia="el"/>
        </w:rPr>
        <w:t>Τροποποίηση 21959 ΕΞ 2022 17.02.2022</w:t>
      </w:r>
    </w:p>
  </w:footnote>
  <w:footnote w:id="5">
    <w:p>
      <w:pPr>
        <w:pStyle w:val="Footnotes"/>
        <w:spacing w:before="240" w:after="240"/>
        <w:rPr>
          <w:rStyle w:val="Hyperlink"/>
          <w:color w:val="0000EE"/>
          <w:sz w:val="20"/>
          <w:szCs w:val="20"/>
          <w:u w:val="single" w:color="0000EE"/>
          <w:vertAlign w:val="superscript"/>
          <w:lang w:val="el" w:eastAsia="el"/>
        </w:rPr>
      </w:pPr>
      <w:r>
        <w:rPr>
          <w:rStyle w:val="FootnoteReference"/>
          <w:color w:val="000000"/>
          <w:sz w:val="20"/>
          <w:szCs w:val="20"/>
          <w:u w:val="none" w:color="0000EE"/>
          <w:vertAlign w:val="superscript"/>
          <w:lang w:val="el" w:eastAsia="el"/>
        </w:rPr>
        <w:footnoteRef/>
      </w:r>
      <w:r>
        <w:rPr>
          <w:lang w:val="el" w:eastAsia="el"/>
        </w:rPr>
        <w:t>Τροποποίηση 21959 ΕΞ 2022 17.02.2022</w:t>
      </w:r>
    </w:p>
  </w:footnote>
  <w:footnote w:id="6">
    <w:p>
      <w:pPr>
        <w:pStyle w:val="Footnotes"/>
        <w:spacing w:before="240" w:after="240"/>
        <w:rPr>
          <w:rStyle w:val="Hyperlink"/>
          <w:color w:val="0000EE"/>
          <w:sz w:val="20"/>
          <w:szCs w:val="20"/>
          <w:u w:val="single" w:color="0000EE"/>
          <w:vertAlign w:val="superscript"/>
          <w:lang w:val="el" w:eastAsia="el"/>
        </w:rPr>
      </w:pPr>
      <w:r>
        <w:rPr>
          <w:rStyle w:val="FootnoteReference"/>
          <w:color w:val="000000"/>
          <w:sz w:val="20"/>
          <w:szCs w:val="20"/>
          <w:u w:val="none" w:color="0000EE"/>
          <w:vertAlign w:val="superscript"/>
          <w:lang w:val="el" w:eastAsia="el"/>
        </w:rPr>
        <w:footnoteRef/>
      </w:r>
      <w:r>
        <w:rPr>
          <w:lang w:val="el" w:eastAsia="el"/>
        </w:rPr>
        <w:t>Τροποποίηση 21959 ΕΞ 2022 17.02.2022</w:t>
      </w:r>
    </w:p>
  </w:footnote>
  <w:footnote w:id="7">
    <w:p>
      <w:pPr>
        <w:pStyle w:val="Footnotes"/>
        <w:spacing w:before="240" w:after="240"/>
        <w:rPr>
          <w:rStyle w:val="Hyperlink"/>
          <w:color w:val="0000EE"/>
          <w:sz w:val="20"/>
          <w:szCs w:val="20"/>
          <w:u w:val="single" w:color="0000EE"/>
          <w:vertAlign w:val="superscript"/>
          <w:lang w:val="el" w:eastAsia="el"/>
        </w:rPr>
      </w:pPr>
      <w:r>
        <w:rPr>
          <w:rStyle w:val="FootnoteReference"/>
          <w:color w:val="000000"/>
          <w:sz w:val="20"/>
          <w:szCs w:val="20"/>
          <w:u w:val="none" w:color="0000EE"/>
          <w:vertAlign w:val="superscript"/>
          <w:lang w:val="el" w:eastAsia="el"/>
        </w:rPr>
        <w:footnoteRef/>
      </w:r>
      <w:r>
        <w:rPr>
          <w:lang w:val="el" w:eastAsia="el"/>
        </w:rPr>
        <w:t>Τροποποίηση 21959 ΕΞ 2022 17.02.2022</w:t>
      </w:r>
    </w:p>
  </w:footnote>
  <w:footnote w:id="8">
    <w:p>
      <w:pPr>
        <w:pStyle w:val="Footnotes"/>
        <w:spacing w:before="240" w:after="240"/>
        <w:rPr>
          <w:rStyle w:val="Hyperlink"/>
          <w:color w:val="0000EE"/>
          <w:sz w:val="20"/>
          <w:szCs w:val="20"/>
          <w:u w:val="single" w:color="0000EE"/>
          <w:vertAlign w:val="superscript"/>
          <w:lang w:val="el" w:eastAsia="el"/>
        </w:rPr>
      </w:pPr>
      <w:r>
        <w:rPr>
          <w:rStyle w:val="FootnoteReference"/>
          <w:color w:val="000000"/>
          <w:sz w:val="20"/>
          <w:szCs w:val="20"/>
          <w:u w:val="none" w:color="0000EE"/>
          <w:vertAlign w:val="superscript"/>
          <w:lang w:val="el" w:eastAsia="el"/>
        </w:rPr>
        <w:footnoteRef/>
      </w:r>
      <w:r>
        <w:rPr>
          <w:lang w:val="el" w:eastAsia="el"/>
        </w:rPr>
        <w:t>Τροποποίηση 21959 ΕΞ 2022 17.02.2022</w:t>
      </w:r>
    </w:p>
  </w:footnote>
  <w:footnote w:id="9">
    <w:p>
      <w:pPr>
        <w:pStyle w:val="Footnotes"/>
        <w:spacing w:before="240" w:after="240"/>
        <w:rPr>
          <w:rStyle w:val="Hyperlink"/>
          <w:color w:val="0000EE"/>
          <w:sz w:val="20"/>
          <w:szCs w:val="20"/>
          <w:u w:val="single" w:color="0000EE"/>
          <w:vertAlign w:val="superscript"/>
          <w:lang w:val="el" w:eastAsia="el"/>
        </w:rPr>
      </w:pPr>
      <w:r>
        <w:rPr>
          <w:rStyle w:val="FootnoteReference"/>
          <w:color w:val="000000"/>
          <w:sz w:val="20"/>
          <w:szCs w:val="20"/>
          <w:u w:val="none" w:color="0000EE"/>
          <w:vertAlign w:val="superscript"/>
          <w:lang w:val="el" w:eastAsia="el"/>
        </w:rPr>
        <w:footnoteRef/>
      </w:r>
      <w:r>
        <w:rPr>
          <w:lang w:val="el" w:eastAsia="el"/>
        </w:rPr>
        <w:t>Τροποποίηση 21959 ΕΞ 2022 17.02.2022</w:t>
      </w:r>
    </w:p>
  </w:footnote>
  <w:footnote w:id="10">
    <w:p>
      <w:pPr>
        <w:pStyle w:val="Footnotes"/>
        <w:spacing w:before="240" w:after="240"/>
        <w:rPr>
          <w:rStyle w:val="Hyperlink"/>
          <w:color w:val="0000EE"/>
          <w:sz w:val="20"/>
          <w:szCs w:val="20"/>
          <w:u w:val="single" w:color="0000EE"/>
          <w:vertAlign w:val="superscript"/>
          <w:lang w:val="el" w:eastAsia="el"/>
        </w:rPr>
      </w:pPr>
      <w:r>
        <w:rPr>
          <w:rStyle w:val="FootnoteReference"/>
          <w:color w:val="000000"/>
          <w:sz w:val="20"/>
          <w:szCs w:val="20"/>
          <w:u w:val="none" w:color="0000EE"/>
          <w:vertAlign w:val="superscript"/>
          <w:lang w:val="el" w:eastAsia="el"/>
        </w:rPr>
        <w:footnoteRef/>
      </w:r>
      <w:r>
        <w:rPr>
          <w:lang w:val="el" w:eastAsia="el"/>
        </w:rPr>
        <w:t>Τροποποίηση 21959 ΕΞ 2022 17.02.2022</w:t>
      </w:r>
    </w:p>
  </w:footnote>
  <w:footnote w:id="11">
    <w:p>
      <w:pPr>
        <w:pStyle w:val="Footnotes"/>
        <w:spacing w:before="240" w:after="240"/>
        <w:rPr>
          <w:rStyle w:val="Hyperlink"/>
          <w:color w:val="0000EE"/>
          <w:sz w:val="20"/>
          <w:szCs w:val="20"/>
          <w:u w:val="single" w:color="0000EE"/>
          <w:vertAlign w:val="superscript"/>
          <w:lang w:val="el" w:eastAsia="el"/>
        </w:rPr>
      </w:pPr>
      <w:r>
        <w:rPr>
          <w:rStyle w:val="FootnoteReference"/>
          <w:color w:val="000000"/>
          <w:sz w:val="20"/>
          <w:szCs w:val="20"/>
          <w:u w:val="none" w:color="0000EE"/>
          <w:vertAlign w:val="superscript"/>
          <w:lang w:val="el" w:eastAsia="el"/>
        </w:rPr>
        <w:footnoteRef/>
      </w:r>
      <w:r>
        <w:rPr>
          <w:lang w:val="el" w:eastAsia="el"/>
        </w:rPr>
        <w:t>Τροποποίηση 21959 ΕΞ 2022 17.02.2022</w:t>
      </w:r>
    </w:p>
  </w:footnote>
  <w:footnote w:id="12">
    <w:p>
      <w:pPr>
        <w:pStyle w:val="Footnotes"/>
        <w:spacing w:before="240" w:after="240"/>
        <w:rPr>
          <w:rStyle w:val="Hyperlink"/>
          <w:color w:val="0000EE"/>
          <w:sz w:val="20"/>
          <w:szCs w:val="20"/>
          <w:u w:val="single" w:color="0000EE"/>
          <w:vertAlign w:val="superscript"/>
          <w:lang w:val="el" w:eastAsia="el"/>
        </w:rPr>
      </w:pPr>
      <w:r>
        <w:rPr>
          <w:rStyle w:val="FootnoteReference"/>
          <w:color w:val="000000"/>
          <w:sz w:val="20"/>
          <w:szCs w:val="20"/>
          <w:u w:val="none" w:color="0000EE"/>
          <w:vertAlign w:val="superscript"/>
          <w:lang w:val="el" w:eastAsia="el"/>
        </w:rPr>
        <w:footnoteRef/>
      </w:r>
      <w:r>
        <w:rPr>
          <w:lang w:val="el" w:eastAsia="el"/>
        </w:rPr>
        <w:t>Τροποποίηση 21959 ΕΞ 2022 17.02.2022</w:t>
      </w:r>
    </w:p>
  </w:footnote>
  <w:footnote w:id="13">
    <w:p>
      <w:pPr>
        <w:pStyle w:val="Footnotes"/>
        <w:spacing w:before="240" w:after="240"/>
        <w:rPr>
          <w:rStyle w:val="Hyperlink"/>
          <w:color w:val="0000EE"/>
          <w:sz w:val="20"/>
          <w:szCs w:val="20"/>
          <w:u w:val="single" w:color="0000EE"/>
          <w:vertAlign w:val="superscript"/>
          <w:lang w:val="el" w:eastAsia="el"/>
        </w:rPr>
      </w:pPr>
      <w:r>
        <w:rPr>
          <w:rStyle w:val="FootnoteReference"/>
          <w:color w:val="000000"/>
          <w:sz w:val="20"/>
          <w:szCs w:val="20"/>
          <w:u w:val="none" w:color="0000EE"/>
          <w:vertAlign w:val="superscript"/>
          <w:lang w:val="el" w:eastAsia="el"/>
        </w:rPr>
        <w:footnoteRef/>
      </w:r>
      <w:r>
        <w:rPr>
          <w:lang w:val="el" w:eastAsia="el"/>
        </w:rPr>
        <w:t>Τροποποίηση 21959 ΕΞ 2022 17.02.2022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customStyle="1" w:styleId="footnotes0">
    <w:name w:val="footnotes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