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 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Β΄, Δ΄</w:t>
      </w:r>
    </w:p>
    <w:p>
      <w:pPr>
        <w:pStyle w:val="PreambelText"/>
        <w:spacing w:before="240" w:after="240"/>
        <w:rPr>
          <w:lang w:val="el" w:eastAsia="el"/>
        </w:rPr>
      </w:pPr>
      <w:r>
        <w:rPr>
          <w:b/>
          <w:bCs/>
          <w:lang w:val="el" w:eastAsia="el"/>
        </w:rPr>
        <w:t>Τηλέφωνο: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11-3-2020 Πράξης Νομοθετικού Περιεχομένου (Α΄ 55), όπως τροποποιήθηκε και ισχύει,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(Β΄5639).</w:t>
      </w:r>
    </w:p>
    <w:p>
      <w:pPr>
        <w:spacing w:before="240" w:after="240"/>
        <w:rPr>
          <w:lang w:val="el" w:eastAsia="el"/>
        </w:rPr>
      </w:pPr>
      <w:r>
        <w:rPr>
          <w:lang w:val="el" w:eastAsia="el"/>
        </w:rPr>
        <w:t>16. Την υπό στοιχεία Α. 1015/2021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(Β΄246).</w:t>
      </w:r>
    </w:p>
    <w:p>
      <w:pPr>
        <w:spacing w:before="240" w:after="240"/>
        <w:rPr>
          <w:lang w:val="el" w:eastAsia="el"/>
        </w:rPr>
      </w:pPr>
      <w:r>
        <w:rPr>
          <w:lang w:val="el" w:eastAsia="el"/>
        </w:rPr>
        <w:t>17. Την υπό στοιχεία Α. 1029/2021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(Β΄617).</w:t>
      </w:r>
    </w:p>
    <w:p>
      <w:pPr>
        <w:spacing w:before="240" w:after="240"/>
        <w:rPr>
          <w:lang w:val="el" w:eastAsia="el"/>
        </w:rPr>
      </w:pPr>
      <w:r>
        <w:rPr>
          <w:lang w:val="el" w:eastAsia="el"/>
        </w:rPr>
        <w:t>18. Την υπό στοιχεία Α. 1071/2021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αντικατάσταση της υπό στοιχεία Α. 1056/18-3-2021 (Β΄1071) απόφαση» (Β΄1201/29-3-2021), η οποία διορθώθηκε με το ΦΕΚ Β΄ 1513/2021.</w:t>
      </w:r>
    </w:p>
    <w:p>
      <w:pPr>
        <w:spacing w:before="240" w:after="240"/>
        <w:rPr>
          <w:lang w:val="el" w:eastAsia="el"/>
        </w:rPr>
      </w:pPr>
      <w:r>
        <w:rPr>
          <w:lang w:val="el" w:eastAsia="el"/>
        </w:rPr>
        <w:t>19. Την υπό στοιχεία Α. 1096/2021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(Β΄1728).</w:t>
      </w:r>
    </w:p>
    <w:p>
      <w:pPr>
        <w:spacing w:before="240" w:after="240"/>
        <w:rPr>
          <w:lang w:val="el" w:eastAsia="el"/>
        </w:rPr>
      </w:pPr>
      <w:r>
        <w:rPr>
          <w:lang w:val="el" w:eastAsia="el"/>
        </w:rPr>
        <w:t>20.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21. Την εισήγηση του Διοικητή της Ανεξάρτητης Αρχής Δημοσίων Εσόδων (Α.Α.Δ.Ε.).</w:t>
      </w:r>
    </w:p>
    <w:p>
      <w:pPr>
        <w:spacing w:before="240" w:after="240"/>
        <w:rPr>
          <w:lang w:val="el" w:eastAsia="el"/>
        </w:rPr>
      </w:pPr>
      <w:r>
        <w:rPr>
          <w:lang w:val="el" w:eastAsia="el"/>
        </w:rPr>
        <w:t>22.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Μαΐου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20-32020 από τους αναγραφόμενους στο συνημμένο πίνακα, ο οποίος και αποτελεί αναπόσπαστο μέρος της παρούσας, ή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20-3-2020.</w:t>
      </w:r>
    </w:p>
    <w:p>
      <w:pPr>
        <w:spacing w:before="240" w:after="240"/>
        <w:rPr>
          <w:lang w:val="el" w:eastAsia="el"/>
        </w:rPr>
      </w:pPr>
      <w:r>
        <w:rPr>
          <w:lang w:val="el" w:eastAsia="el"/>
        </w:rPr>
        <w:t>Η εν λόγω δόση Μαΐου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των υπό στοιχεία Α. 1254/2020 (Β΄5223), Α. 1280 (Β΄5639), Α. 1015/2021 (Β΄246), Α. 1029/2021 (Β΄617), Α. 1071/2021 (Β΄ 1201-η οποία διορθώθηκε με το Β΄ 1513) και Α.1096/2021 (Β΄ 1728)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 εκτός από Υπηρεσίες ενοικίασης ιατρικού εξοπλισμού (πατερίτσων κλπ) ή παραϊατρικού εξοπλισμού (77.29.19.02)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εργαστηρίου αισθητικής προσώπου και σώματος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φιλοξενίας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