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6Ι6346ΜΠ3Ζ-9Ξ4</w:t>
      </w:r>
    </w:p>
    <w:p>
      <w:pPr>
        <w:pStyle w:val="Title"/>
        <w:spacing w:before="120" w:after="360"/>
        <w:rPr>
          <w:lang w:val="el" w:eastAsia="el"/>
        </w:rPr>
      </w:pPr>
      <w:r>
        <w:rPr>
          <w:b/>
          <w:bCs/>
          <w:lang w:val="el" w:eastAsia="el"/>
        </w:rPr>
        <w:t>ΑΡΙΘ. ΦΕΚ: Β΄2110/21.5.2</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I.ΓΕΝΙΚΗ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A΄,B΄, Γ΄</w:t>
      </w:r>
    </w:p>
    <w:p>
      <w:pPr>
        <w:pStyle w:val="PreambelText"/>
        <w:spacing w:before="240" w:after="240"/>
        <w:rPr>
          <w:lang w:val="el" w:eastAsia="el"/>
        </w:rPr>
      </w:pPr>
      <w:r>
        <w:rPr>
          <w:lang w:val="el" w:eastAsia="el"/>
        </w:rPr>
        <w:t xml:space="preserve">II. </w:t>
      </w:r>
      <w:r>
        <w:rPr>
          <w:b/>
          <w:bCs/>
          <w:lang w:val="el" w:eastAsia="el"/>
        </w:rPr>
        <w:t>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ΕΠΙΧΕΙΡΗΣΙΑΚΩΝ ΔΙΑΔΙΚΑΣΙΩΝ</w:t>
      </w:r>
    </w:p>
    <w:p>
      <w:pPr>
        <w:pStyle w:val="PreambelText"/>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ΘΕΜΑ: Τύπος και περιεχόμενο της «ΚΑΤΑΣΤΑΣΗΣ ΟΙΚΟΝΟΜΙΚΩΝ ΣΤΟΙΧΕΙΩΝ ΑΠΟ ΕΠΙΧΕΙΡΗΜΑΤΙΚΗ ΔΡΑΣΤΗΡΙΟΤΗΤΑ» – Έντυπο Ε3.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67 και 68 του ν.4172/2013 (Α΄ 167),</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6 και 18 του ν.4174/2013 (Α΄170),</w:t>
      </w:r>
    </w:p>
    <w:p>
      <w:pPr>
        <w:spacing w:before="240" w:after="240"/>
        <w:rPr>
          <w:lang w:val="el" w:eastAsia="el"/>
        </w:rPr>
      </w:pPr>
      <w:r>
        <w:rPr>
          <w:b/>
          <w:bCs/>
          <w:lang w:val="el" w:eastAsia="el"/>
        </w:rPr>
        <w:t>γ)</w:t>
      </w:r>
      <w:r>
        <w:rPr>
          <w:b/>
          <w:bCs/>
          <w:lang w:val="el" w:eastAsia="el"/>
        </w:rPr>
        <w:t>της παραγράφου 5 του άρθρου 18 του ν.2753/1999 (Α΄ 249),</w:t>
      </w:r>
    </w:p>
    <w:p>
      <w:pPr>
        <w:pStyle w:val="StructureList1"/>
        <w:spacing w:before="120" w:after="0"/>
        <w:rPr>
          <w:lang w:val="el" w:eastAsia="el"/>
        </w:rPr>
      </w:pPr>
      <w:r>
        <w:rPr>
          <w:b/>
          <w:bCs/>
          <w:lang w:val="el" w:eastAsia="el"/>
        </w:rPr>
        <w:t>δ)</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8, 21, 22, 22Α, 22Β, 22Γ,23, 29,47, 58, 59, 60, 64, 69, 70, 71Δ, 71Ε, 71ΣΤ, 71Ζ΄ και 72 του ν.4172/2013,</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5,10,11,15, 19, 31, 32,33,34,35,36, 37 και 41 του ν.4174/2013,</w:t>
      </w:r>
    </w:p>
    <w:p>
      <w:pPr>
        <w:spacing w:before="240" w:after="240"/>
        <w:rPr>
          <w:lang w:val="el" w:eastAsia="el"/>
        </w:rPr>
      </w:pPr>
      <w:r>
        <w:rPr>
          <w:b/>
          <w:bCs/>
          <w:lang w:val="el" w:eastAsia="el"/>
        </w:rPr>
        <w:t>ζ)</w:t>
      </w:r>
      <w:r>
        <w:rPr>
          <w:b/>
          <w:bCs/>
          <w:lang w:val="el" w:eastAsia="el"/>
        </w:rPr>
        <w:t>της παραγράφου 3 του άρθρου 38 του ν.2873/2000 (Α΄ 285),</w:t>
      </w:r>
    </w:p>
    <w:p>
      <w:pPr>
        <w:pStyle w:val="StructureList1"/>
        <w:spacing w:before="120" w:after="0"/>
        <w:rPr>
          <w:lang w:val="el" w:eastAsia="el"/>
        </w:rPr>
      </w:pPr>
      <w:r>
        <w:rPr>
          <w:b/>
          <w:bCs/>
          <w:lang w:val="el" w:eastAsia="el"/>
        </w:rPr>
        <w:t>η)</w:t>
      </w:r>
      <w:r>
        <w:rPr>
          <w:b/>
          <w:bCs/>
          <w:lang w:val="en" w:eastAsia="en"/>
        </w:rPr>
        <w:tab/>
      </w:r>
      <w:r>
        <w:rPr>
          <w:b/>
          <w:bCs/>
          <w:lang w:val="el" w:eastAsia="el"/>
        </w:rPr>
        <w:t>των άρθρων 7 και 8 του ν.1599/1986 (Α΄ 75), όπως τροποποιήθηκαν και ισχύουν με τις διατάξεις του ν.2690/1999 (Α΄ 45),</w:t>
      </w:r>
    </w:p>
    <w:p>
      <w:pPr>
        <w:pStyle w:val="StructureList1"/>
        <w:spacing w:before="120" w:after="0"/>
        <w:rPr>
          <w:lang w:val="el" w:eastAsia="el"/>
        </w:rPr>
      </w:pPr>
      <w:r>
        <w:rPr>
          <w:b/>
          <w:bCs/>
          <w:lang w:val="el" w:eastAsia="el"/>
        </w:rPr>
        <w:t>θ)</w:t>
      </w:r>
      <w:r>
        <w:rPr>
          <w:b/>
          <w:bCs/>
          <w:lang w:val="en" w:eastAsia="en"/>
        </w:rPr>
        <w:tab/>
      </w:r>
      <w:r>
        <w:rPr>
          <w:b/>
          <w:bCs/>
          <w:lang w:val="el" w:eastAsia="el"/>
        </w:rPr>
        <w:t>της παραγράφου 10 του άρθρου 4 και της παραγράφου 1 του άρθρου 18 του ν.3522/2006 (Α΄ 276),</w:t>
      </w:r>
    </w:p>
    <w:p>
      <w:pPr>
        <w:pStyle w:val="StructureList1"/>
        <w:spacing w:before="120" w:after="0"/>
        <w:rPr>
          <w:lang w:val="el" w:eastAsia="el"/>
        </w:rPr>
      </w:pPr>
      <w:r>
        <w:rPr>
          <w:b/>
          <w:bCs/>
          <w:lang w:val="el" w:eastAsia="el"/>
        </w:rPr>
        <w:t>ι)</w:t>
      </w:r>
      <w:r>
        <w:rPr>
          <w:b/>
          <w:bCs/>
          <w:lang w:val="en" w:eastAsia="en"/>
        </w:rPr>
        <w:tab/>
      </w:r>
      <w:r>
        <w:rPr>
          <w:b/>
          <w:bCs/>
          <w:lang w:val="el" w:eastAsia="el"/>
        </w:rPr>
        <w:t>της υπό στοιχεία ΠΟΛ.1008/2011 Α.Υ.Ο. (Β΄136) όπως τροποποιήθηκε και ισχύει, που αφορά τον καθορισμό ορίων ακαθαρίστων εσόδων επιχειρήσεων και ελευθέρων επαγγελ- ματιών, πάνω από τα οποία υφίσταται υποχρέωση υπογραφής των δηλώσεων από λογιστή φοροτεχνικό,</w:t>
      </w:r>
    </w:p>
    <w:p>
      <w:pPr>
        <w:pStyle w:val="StructureList1"/>
        <w:spacing w:before="120" w:after="0"/>
        <w:rPr>
          <w:lang w:val="el" w:eastAsia="el"/>
        </w:rPr>
      </w:pPr>
      <w:r>
        <w:rPr>
          <w:b/>
          <w:bCs/>
          <w:lang w:val="el" w:eastAsia="el"/>
        </w:rPr>
        <w:t>ια)</w:t>
      </w:r>
      <w:r>
        <w:rPr>
          <w:b/>
          <w:bCs/>
          <w:lang w:val="en" w:eastAsia="en"/>
        </w:rPr>
        <w:tab/>
      </w:r>
      <w:r>
        <w:rPr>
          <w:b/>
          <w:bCs/>
          <w:lang w:val="el" w:eastAsia="el"/>
        </w:rPr>
        <w:t>της υπό στοιχεία αριθ. Δ.ΟΡΓ.Α΄1125859 ΕΞ 2020/23.10.2020 (Β΄1280)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Την υπό στοιχεία αριθ. Δ6Α 1015213 ΕΞ2013/28.01.2013 (Β΄130 και Β΄372)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spacing w:before="240" w:after="240"/>
        <w:rPr>
          <w:lang w:val="el" w:eastAsia="el"/>
        </w:rPr>
      </w:pPr>
      <w:r>
        <w:rPr>
          <w:b/>
          <w:bCs/>
          <w:lang w:val="el" w:eastAsia="el"/>
        </w:rPr>
        <w:t>3.</w:t>
      </w:r>
      <w:r>
        <w:rPr>
          <w:b/>
          <w:bCs/>
          <w:lang w:val="el" w:eastAsia="el"/>
        </w:rPr>
        <w:t>Την αριθμ.1/20.01.2016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την αριθ.39/3/30.11.2017 (Υ.Ο.Δ.Δ. 689) απόφαση του Συμβουλίου Διοίκησης της Α.Α.Δ.Ε. «Ανανέωση της θητείας του Διοικητή της</w:t>
      </w:r>
    </w:p>
    <w:p>
      <w:pPr>
        <w:spacing w:before="240" w:after="240"/>
        <w:rPr>
          <w:lang w:val="el" w:eastAsia="el"/>
        </w:rPr>
      </w:pPr>
      <w:r>
        <w:rPr>
          <w:b/>
          <w:bCs/>
          <w:lang w:val="el" w:eastAsia="el"/>
        </w:rPr>
        <w:t>Α.Α.Δ.Ε.» και την αριθ.5294 ΕΞ 2020/17.1.2020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ανάγκη ομοιόμορφης εκπλήρωσης των φορολογικών υποχρεώσεων από τους υπόχρεους, όπως ορίζονται στην παράγραφο 1 των άρθρων 67 και 68 του ν.4172/2013.</w:t>
      </w:r>
    </w:p>
    <w:p>
      <w:pPr>
        <w:spacing w:before="240" w:after="240"/>
        <w:rPr>
          <w:lang w:val="el" w:eastAsia="el"/>
        </w:rPr>
      </w:pPr>
      <w:r>
        <w:rPr>
          <w:b/>
          <w:bCs/>
          <w:lang w:val="el" w:eastAsia="el"/>
        </w:rPr>
        <w:t>5. Το γεγονός ότι με την απόφαση αυτή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b/>
          <w:bCs/>
          <w:lang w:val="el" w:eastAsia="el"/>
        </w:rPr>
        <w:t xml:space="preserve"> Ορίζουμε για το φορολογικό έτος 2020 τον τύπο και το περιεχόμενο της «ΚΑΤΑΣΤΑΣΗΣ ΟΙΚΟΝΟΜΙΚΩΝ ΣΤΟΙΧΕΙΩΝ ΑΠΟ ΕΠΙΧΕΙΡΗΜΑΤΙΚΗ ΔΡΑΣΤΗΡΙΟΤΗΤΑ» (έντυπο Ε3) καθώς και της κατάστασης φορολογικής αναμόρφωσης που τη συνοδεύει ως το συνημμένο παράρτημα της παρούσας.</w:t>
      </w:r>
    </w:p>
    <w:p>
      <w:pPr>
        <w:pStyle w:val="MainText"/>
        <w:spacing w:before="120" w:after="0"/>
        <w:rPr>
          <w:lang w:val="el" w:eastAsia="el"/>
        </w:rPr>
      </w:pPr>
      <w:r>
        <w:rPr>
          <w:b/>
          <w:bCs/>
          <w:lang w:val="el" w:eastAsia="el"/>
        </w:rPr>
        <w:t>2.</w:t>
      </w:r>
      <w:r>
        <w:rPr>
          <w:b/>
          <w:bCs/>
          <w:lang w:val="el" w:eastAsia="el"/>
        </w:rPr>
        <w:t xml:space="preserve"> Η κατάσταση οικονομικών στοιχείων από επιχειρηματική δραστηριότητα συνυποβάλλεται με τις εμπρόθεσμες και εκπρόθεσμες αρχικές και τροποποιητικές δηλώσεις με τα έντυπα «Ε1» (Δήλωση Φορολογίας Εισοδήματος φυσικών προσώπων) και «Ν» (Δήλωση Φορολογίας Εισοδήματος νομικών προσώπων και νομικών οντοτήτων) υποχρεωτικά με τη χρήση ηλεκτρονικής μεθόδου επικοινωνίας ή σε χειρόγραφη μορφή στη Δ.Ο.Υ. κατά περίπτωση.</w:t>
      </w:r>
    </w:p>
    <w:p>
      <w:pPr>
        <w:pStyle w:val="MainText"/>
        <w:spacing w:before="120" w:after="0"/>
        <w:rPr>
          <w:lang w:val="el" w:eastAsia="el"/>
        </w:rPr>
      </w:pPr>
      <w:r>
        <w:rPr>
          <w:b/>
          <w:bCs/>
          <w:lang w:val="el" w:eastAsia="el"/>
        </w:rPr>
        <w:t>3.</w:t>
      </w:r>
      <w:r>
        <w:rPr>
          <w:b/>
          <w:bCs/>
          <w:lang w:val="el" w:eastAsia="el"/>
        </w:rPr>
        <w:t xml:space="preserve"> Στις περιπτώσεις συζύγων και φυσικών προσώπων που έχουν συνάψει σύμφωνο συμβίωσης και υποβάλλουν κοινή δήλωση για τα εισοδήματά τους, το έντυπο Ε3 υποβάλλεται για καθένα από τους συζύγους/μέλη συμφώνου συμβίωσης όπου αυτό απαιτείται από τα επιμέρους εισοδήματά τους.</w:t>
      </w:r>
    </w:p>
    <w:p>
      <w:pPr>
        <w:pStyle w:val="MainText"/>
        <w:spacing w:before="120" w:after="0"/>
        <w:rPr>
          <w:lang w:val="el" w:eastAsia="el"/>
        </w:rPr>
      </w:pPr>
      <w:r>
        <w:rPr>
          <w:b/>
          <w:bCs/>
          <w:lang w:val="el" w:eastAsia="el"/>
        </w:rPr>
        <w:t>4.</w:t>
      </w:r>
      <w:r>
        <w:rPr>
          <w:b/>
          <w:bCs/>
          <w:lang w:val="el" w:eastAsia="el"/>
        </w:rPr>
        <w:t xml:space="preserve"> Σε περίπτωση διακοπής εργασιών και έναρξης εντός του ίδιου φορολογικού έτους, υποβάλλεται μία (1) κατάσταση οικονομικών στοιχείων από επιχειρηματική δραστηριότητα για όλο το φορολογικό έτος.</w:t>
      </w:r>
    </w:p>
    <w:p>
      <w:pPr>
        <w:pStyle w:val="MainText"/>
        <w:spacing w:before="120" w:after="0"/>
        <w:rPr>
          <w:lang w:val="el" w:eastAsia="el"/>
        </w:rPr>
      </w:pPr>
      <w:r>
        <w:rPr>
          <w:b/>
          <w:bCs/>
          <w:lang w:val="el" w:eastAsia="el"/>
        </w:rPr>
        <w:t>5.</w:t>
      </w:r>
      <w:r>
        <w:rPr>
          <w:b/>
          <w:bCs/>
          <w:lang w:val="el" w:eastAsia="el"/>
        </w:rPr>
        <w:t xml:space="preserve"> Δεν προβλέπεται η υποβολή του εντύπου Ε3 με επιφύλαξη, καθόσον η επιφύλαξη αφορά αποκλειστικά το περιεχόμενο της δήλωσης φορολογίας εισοδήματος (έντυπο Ε1 ή N, κατά περίπτωση).</w:t>
      </w:r>
    </w:p>
    <w:p>
      <w:pPr>
        <w:pStyle w:val="MainText"/>
        <w:spacing w:before="120" w:after="0"/>
        <w:rPr>
          <w:lang w:val="el" w:eastAsia="el"/>
        </w:rPr>
      </w:pPr>
      <w:r>
        <w:rPr>
          <w:b/>
          <w:bCs/>
          <w:lang w:val="el" w:eastAsia="el"/>
        </w:rPr>
        <w:t>6.</w:t>
      </w:r>
      <w:r>
        <w:rPr>
          <w:b/>
          <w:bCs/>
          <w:lang w:val="el" w:eastAsia="el"/>
        </w:rPr>
        <w:t xml:space="preserve"> Η κατάσταση οικονομικών στοιχείων από επιχειρηματική δραστηριότητα υποβάλλεται μία φορά για το σύνολο της επιχείρησης ανεξαρτήτως αριθμού υποκαταστημάτων και κλάδων.</w:t>
      </w:r>
    </w:p>
    <w:p>
      <w:pPr>
        <w:pStyle w:val="MainText"/>
        <w:spacing w:before="120" w:after="0"/>
        <w:rPr>
          <w:lang w:val="el" w:eastAsia="el"/>
        </w:rPr>
      </w:pPr>
      <w:r>
        <w:rPr>
          <w:b/>
          <w:bCs/>
          <w:lang w:val="el" w:eastAsia="el"/>
        </w:rPr>
        <w:t>7.</w:t>
      </w:r>
      <w:r>
        <w:rPr>
          <w:b/>
          <w:bCs/>
          <w:lang w:val="el" w:eastAsia="el"/>
        </w:rPr>
        <w:t xml:space="preserve"> Ο υπόχρεος σε υποβολή κατάστασης οικονομικών στοιχείων από επιχειρηματική δραστηριότητα συμπληρώνει τους πίνακες εκείνους που τον αφορούν.</w:t>
      </w:r>
    </w:p>
    <w:p>
      <w:pPr>
        <w:pStyle w:val="MainText"/>
        <w:spacing w:before="120" w:after="0"/>
        <w:rPr>
          <w:lang w:val="el" w:eastAsia="el"/>
        </w:rPr>
      </w:pPr>
      <w:r>
        <w:rPr>
          <w:b/>
          <w:bCs/>
          <w:lang w:val="el" w:eastAsia="el"/>
        </w:rPr>
        <w:t>8.</w:t>
      </w:r>
      <w:r>
        <w:rPr>
          <w:b/>
          <w:bCs/>
          <w:lang w:val="el" w:eastAsia="el"/>
        </w:rPr>
        <w:t xml:space="preserve"> Οποιαδήποτε μεταβολή που επήλθε στην κατάσταση της επιχείρησης μέσα στο φορολογικό έτος δεν μπορεί να δηλωθεί στο έντυπο Ε3 εάν προηγουμένως δεν έχει δηλωθεί στο Τμήμα Μητρώου και Εγγραφής Φορολογουμένων της αρμόδιας Δ.Ο.Υ.</w:t>
      </w:r>
    </w:p>
    <w:p>
      <w:pPr>
        <w:pStyle w:val="MainText"/>
        <w:spacing w:before="120" w:after="0"/>
        <w:rPr>
          <w:lang w:val="el" w:eastAsia="el"/>
        </w:rPr>
      </w:pPr>
      <w:r>
        <w:rPr>
          <w:b/>
          <w:bCs/>
          <w:lang w:val="el" w:eastAsia="el"/>
        </w:rPr>
        <w:t>9.</w:t>
      </w:r>
      <w:r>
        <w:rPr>
          <w:b/>
          <w:bCs/>
          <w:lang w:val="el" w:eastAsia="el"/>
        </w:rPr>
        <w:t xml:space="preserve"> Προκειμένου για φυσικά πρόσωπα, η κατάσταση οικονομικών στοιχείων από επιχειρηματική δραστηριότητα συνυποβάλλεται από τους αποκτώντες εισόδημα από επιχειρηματική δραστηριότητα για τις ανάγκες λογιστικού προσδιορισμού του αποτελέσματος, ανεξάρτητα της υποχρέωσης της τήρησης κατάλληλων λογιστικών αρχείων (βιβλία και στοιχεία), σύμφωνα με τα λογιστικά πρότυπα που προβλέπονται στην ελληνική νομοθεσία.</w:t>
      </w:r>
    </w:p>
    <w:p>
      <w:pPr>
        <w:pStyle w:val="MainText"/>
        <w:spacing w:before="120" w:after="0"/>
        <w:rPr>
          <w:lang w:val="el" w:eastAsia="el"/>
        </w:rPr>
      </w:pPr>
      <w:r>
        <w:rPr>
          <w:b/>
          <w:bCs/>
          <w:lang w:val="el" w:eastAsia="el"/>
        </w:rPr>
        <w:t>10.</w:t>
      </w:r>
      <w:r>
        <w:rPr>
          <w:b/>
          <w:bCs/>
          <w:lang w:val="el" w:eastAsia="el"/>
        </w:rPr>
        <w:t xml:space="preserve"> Οι ατομικές πλοιοκτήτριες επιχειρήσεις που έχουν υποχρέωση υποβολής δήλωσης φορολογίας εισοδήματος (έντυπο Ε1) και φορολογούνται με τις διατάξεις του ν. 27/1975 και του άρθρου 57 του ν. 4646/2019 υποβάλλουν το έντυπο Ε3 καταχωρώντας τα έσοδα και τις κατά περίπτωση δαπάνες τους με ανάλογο μηδενισμό του αποτελέσματος από τη δραστηριότητα αυτή μέσω φορολογικής αναμόρφωσης, καθόσον φορολογούνται με τις παραπάνω διατάξεις.</w:t>
      </w:r>
    </w:p>
    <w:p>
      <w:pPr>
        <w:pStyle w:val="MainText"/>
        <w:spacing w:before="120" w:after="0"/>
        <w:rPr>
          <w:lang w:val="el" w:eastAsia="el"/>
        </w:rPr>
      </w:pPr>
      <w:r>
        <w:rPr>
          <w:b/>
          <w:bCs/>
          <w:lang w:val="el" w:eastAsia="el"/>
        </w:rPr>
        <w:t>11.</w:t>
      </w:r>
      <w:r>
        <w:rPr>
          <w:b/>
          <w:bCs/>
          <w:lang w:val="el" w:eastAsia="el"/>
        </w:rPr>
        <w:t xml:space="preserve"> Για τα νομικά πρόσωπα μη κερδοσκοπικού χαρακτήρα, το έντυπο Ε3 υποβάλλεται όταν έχουν εισόδημα από επιχειρηματικές συναλλαγές, ενώ στην περίπτωση που έχουν εισόδημα μόνο από κεφάλαιο και υπεραξία μεταβίβασης κεφαλαίου, καθώς και όταν αποκτούν έσοδα μη φορολογούμενα υποβάλλουν το έντυπο Ε3 χωρίς να αναγράφονται ποσά.</w:t>
      </w:r>
    </w:p>
    <w:p>
      <w:pPr>
        <w:pStyle w:val="MainText"/>
        <w:spacing w:before="120" w:after="0"/>
        <w:rPr>
          <w:lang w:val="el" w:eastAsia="el"/>
        </w:rPr>
      </w:pPr>
      <w:r>
        <w:rPr>
          <w:b/>
          <w:bCs/>
          <w:lang w:val="el" w:eastAsia="el"/>
        </w:rPr>
        <w:t>12.</w:t>
      </w:r>
      <w:r>
        <w:rPr>
          <w:b/>
          <w:bCs/>
          <w:lang w:val="el" w:eastAsia="el"/>
        </w:rPr>
        <w:t xml:space="preserve"> Ναυτιλιακές επιχειρήσεις οποιασδήποτε νομικής μορφής που έχουν υποχρέωση υποβολής δήλωσης φορολογίας εισοδήματος (έντυπο Ν) και που φορολογούνται με τις διατάξεις του ν. 27/1975 και του άρθρου 57 του ν.4646/2019, υποβάλλουν το έντυπο Ε3, καταχωρώντας τα έσοδα και τις κατά περίπτωση δαπάνες τους. Για τα γραφεία αλλοδαπών ναυτιλιακών επιχειρήσεων που εγκαθίστανται στην Ελλάδα βάσει των διατάξεων του άρθρου 25 του ν. 27/1975, καθώς και για τις ημεδαπές επιχειρήσεις που υπάγονται στις ίδιες διατάξεις, το έντυπο Ε3 υποβάλλεται μόνο όταν αποκτούν φορολογητέο εισόδημα με βάση τις διατάξεις του ν. 4172/2013.</w:t>
      </w:r>
    </w:p>
    <w:p>
      <w:pPr>
        <w:pStyle w:val="MainText"/>
        <w:spacing w:before="120" w:after="0"/>
        <w:rPr>
          <w:lang w:val="el" w:eastAsia="el"/>
        </w:rPr>
      </w:pPr>
      <w:r>
        <w:rPr>
          <w:b/>
          <w:bCs/>
          <w:lang w:val="el" w:eastAsia="el"/>
        </w:rPr>
        <w:t>13.</w:t>
      </w:r>
      <w:r>
        <w:rPr>
          <w:b/>
          <w:bCs/>
          <w:lang w:val="el" w:eastAsia="el"/>
        </w:rPr>
        <w:t xml:space="preserve"> Η υποβολή εκπρόθεσμης τροποποιητικής δήλωσης για συμπλήρωση ή μεταβολή αμιγώς πληροφοριακών στοιχείων της κατάστασης οικονομικών στοιχείων από επιχειρηματική δραστηριότητα, δηλαδή στοιχείων που δεν επηρεάζουν το φορολογικό αποτέλεσμα της επιχείρησης, δεν επισύρει τις προβλεπόμενες κυρώσεις του Κ.Φ.Δ.</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 xml:space="preserve">: </w:t>
      </w:r>
      <w:r>
        <w:rPr>
          <w:b/>
          <w:bCs/>
          <w:lang w:val="el" w:eastAsia="el"/>
        </w:rPr>
        <w:t>(Μόνο ως προς το Εθνικό Τυπογραφείο)</w:t>
      </w:r>
    </w:p>
    <w:p>
      <w:pPr>
        <w:pStyle w:val="Title"/>
        <w:spacing w:before="120" w:after="360"/>
        <w:rPr>
          <w:lang w:val="el" w:eastAsia="el"/>
        </w:rPr>
      </w:pPr>
      <w:r>
        <w:rPr>
          <w:b/>
          <w:bCs/>
          <w:lang w:val="el" w:eastAsia="el"/>
        </w:rPr>
        <w:t xml:space="preserve">Παράρτημα :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 (Ε3) με συνημμένους πίνακες και κατάσταση φορολογικής αναμόρφωσης.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Γ΄ (εκτός του αριθμού 2 αυτού)</w:t>
      </w:r>
    </w:p>
    <w:p>
      <w:pPr>
        <w:spacing w:before="240" w:after="240"/>
        <w:rPr>
          <w:lang w:val="el" w:eastAsia="el"/>
        </w:rPr>
      </w:pPr>
      <w:r>
        <w:rPr>
          <w:b/>
          <w:bCs/>
          <w:lang w:val="el" w:eastAsia="el"/>
        </w:rPr>
        <w:t>3. Επιχειρησιακή Δ/νση ΣΔΟΕ Αττικής &amp; Επιχειρησιακή Δ/νση ΣΔΟΕ Μακεδονίας</w:t>
      </w:r>
    </w:p>
    <w:p>
      <w:pPr>
        <w:spacing w:before="240" w:after="240"/>
        <w:rPr>
          <w:lang w:val="el" w:eastAsia="el"/>
        </w:rPr>
      </w:pPr>
      <w:r>
        <w:rPr>
          <w:b/>
          <w:bCs/>
          <w:lang w:val="el" w:eastAsia="el"/>
        </w:rPr>
        <w:t>4. Διεύθυνση Επιχειρησιακών Διαδικασιών</w:t>
      </w:r>
    </w:p>
    <w:p>
      <w:pPr>
        <w:spacing w:before="240" w:after="240"/>
        <w:rPr>
          <w:lang w:val="el" w:eastAsia="el"/>
        </w:rPr>
      </w:pPr>
      <w:r>
        <w:rPr>
          <w:b/>
          <w:bCs/>
          <w:lang w:val="el" w:eastAsia="el"/>
        </w:rPr>
        <w:t>5. Διεύθυνση Ανάπτυξης Φορολογικών Εφαρμογών</w:t>
      </w:r>
    </w:p>
    <w:p>
      <w:pPr>
        <w:spacing w:before="240" w:after="240"/>
        <w:rPr>
          <w:lang w:val="el" w:eastAsia="el"/>
        </w:rPr>
      </w:pPr>
      <w:r>
        <w:rPr>
          <w:b/>
          <w:bCs/>
          <w:lang w:val="el" w:eastAsia="el"/>
        </w:rPr>
        <w:t>6.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πινάκων Α΄, Β΄ (εκτός των αριθ.1 και 2 αυτού),Ζ΄, Η΄, Θ΄, Ι΄, ΙΒ΄, ΙΓ΄, ΙΔ΄, ΙΕ΄ ΙΣΤ΄, ΙΖ΄, ΙΗ΄, ΙΘ΄, Κ΄, ΚΑ΄,ΚΒ΄ και ΚΓ΄</w:t>
      </w:r>
    </w:p>
    <w:p>
      <w:pPr>
        <w:spacing w:before="240" w:after="240"/>
        <w:rPr>
          <w:lang w:val="el" w:eastAsia="el"/>
        </w:rPr>
      </w:pPr>
      <w:r>
        <w:rPr>
          <w:b/>
          <w:bCs/>
          <w:lang w:val="el" w:eastAsia="el"/>
        </w:rPr>
        <w:t>2. Υπουργείο Ανάπτυξης και Επενδύσεων, Γενική Γραμματεία Εμπορίου &amp;</w:t>
      </w:r>
    </w:p>
    <w:p>
      <w:pPr>
        <w:spacing w:before="240" w:after="240"/>
        <w:rPr>
          <w:lang w:val="el" w:eastAsia="el"/>
        </w:rPr>
      </w:pPr>
      <w:r>
        <w:rPr>
          <w:b/>
          <w:bCs/>
          <w:lang w:val="el" w:eastAsia="el"/>
        </w:rPr>
        <w:t>Προστασίας Καταναλωτή, Γενική Δ/νση Αγοράς, Δ/νση Εταιρειών, Πλ. Κάνιγγος, Τ.Κ. 101 81, Αθήνα</w:t>
      </w:r>
    </w:p>
    <w:p>
      <w:pPr>
        <w:spacing w:before="240" w:after="240"/>
        <w:rPr>
          <w:lang w:val="el" w:eastAsia="el"/>
        </w:rPr>
      </w:pPr>
      <w:r>
        <w:rPr>
          <w:b/>
          <w:bCs/>
          <w:lang w:val="el" w:eastAsia="el"/>
        </w:rPr>
        <w:t>3. Υπουργείο Οικονομικών, Επιτροπή Λογιστικής Τυποποίησης και Ελέγχων (ΕΛΤΕ), Βουλής 7, Τ.Κ. 105 62, Αθήνα</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Γραφείο κ. Υπουργού Οικονομικών</w:t>
      </w:r>
    </w:p>
    <w:p>
      <w:pPr>
        <w:spacing w:before="240" w:after="240"/>
        <w:rPr>
          <w:lang w:val="el" w:eastAsia="el"/>
        </w:rPr>
      </w:pPr>
      <w:r>
        <w:rPr>
          <w:b/>
          <w:bCs/>
          <w:lang w:val="el" w:eastAsia="el"/>
        </w:rPr>
        <w:t>6. Γραφείο κ. Υφυπουργού Οικονομικών</w:t>
      </w:r>
    </w:p>
    <w:p>
      <w:pPr>
        <w:spacing w:before="240" w:after="240"/>
        <w:rPr>
          <w:lang w:val="el" w:eastAsia="el"/>
        </w:rPr>
      </w:pPr>
      <w:r>
        <w:rPr>
          <w:b/>
          <w:bCs/>
          <w:lang w:val="el" w:eastAsia="el"/>
        </w:rPr>
        <w:t>7. Περιοδικό «ΦΟΡΟΛΟΓΙΚΗ ΕΠΙΘΕΩΡΗΣΗ»</w:t>
      </w:r>
    </w:p>
    <w:p>
      <w:pPr>
        <w:spacing w:before="240" w:after="240"/>
        <w:rPr>
          <w:lang w:val="el" w:eastAsia="el"/>
        </w:rPr>
      </w:pPr>
      <w:r>
        <w:rPr>
          <w:b/>
          <w:bCs/>
          <w:lang w:val="el" w:eastAsia="el"/>
        </w:rPr>
        <w:t>8. Γραφείο Γενικής Γραμματέως Φορολογικής Πολιτικής και Δημόσιας Διοίκησης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κας. Γενικής Διευθύντριας Φορολογικής Διοίκησης</w:t>
      </w:r>
    </w:p>
    <w:p>
      <w:pPr>
        <w:spacing w:before="240" w:after="240"/>
        <w:rPr>
          <w:lang w:val="el" w:eastAsia="el"/>
        </w:rPr>
      </w:pPr>
      <w:r>
        <w:rPr>
          <w:b/>
          <w:bCs/>
          <w:lang w:val="el" w:eastAsia="el"/>
        </w:rPr>
        <w:t>3. Γραφεία κ.κ. Γενικών Διευθυντών</w:t>
      </w:r>
    </w:p>
    <w:p>
      <w:pPr>
        <w:spacing w:before="240" w:after="240"/>
        <w:rPr>
          <w:lang w:val="el" w:eastAsia="el"/>
        </w:rPr>
      </w:pPr>
      <w:r>
        <w:rPr>
          <w:b/>
          <w:bCs/>
          <w:lang w:val="el" w:eastAsia="el"/>
        </w:rPr>
        <w:t>4. Διεύθυνση Εφαρμογής Άμεσης Φορολογίας - Τμήματα Α΄,Β΄,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