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32207</w:t>
      </w:r>
    </w:p>
    <w:p>
      <w:pPr>
        <w:pStyle w:val="PreambelText"/>
        <w:spacing w:before="240" w:after="240"/>
        <w:rPr>
          <w:lang w:val="el" w:eastAsia="el"/>
        </w:rPr>
      </w:pPr>
      <w:r>
        <w:rPr>
          <w:b/>
          <w:bCs/>
          <w:lang w:val="el" w:eastAsia="el"/>
        </w:rPr>
        <w:t>Τροποποίηση της υπό στοιχεία Δ1α/Γ.Π.οικ. 26390/24.4.2021 κοινής υπουργικής απόφασης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την υπό στοιχεία Δ1α/Γ.Π.οικ.28499/7.5.2021 κοινή υπουργική απόφαση (Β’ 1870).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ΠΡΟΣΤΑΣΙΑΣ ΤΟΥ ΠΟΛΙΤΗ - ΕΘΝΙΚΗΣ</w:t>
      </w:r>
    </w:p>
    <w:p>
      <w:pPr>
        <w:pStyle w:val="PreambelText"/>
        <w:spacing w:before="240" w:after="240"/>
        <w:rPr>
          <w:lang w:val="el" w:eastAsia="el"/>
        </w:rPr>
      </w:pPr>
      <w:r>
        <w:rPr>
          <w:b/>
          <w:bCs/>
          <w:lang w:val="el" w:eastAsia="el"/>
        </w:rPr>
        <w:t>ΑΜΥΝΑΣ - ΠΑΙΔΕΙΑΣ ΚΑΙ ΘΡΗΣΚΕΥΜΑΤΩΝ - ΕΡΓΑΣΙΑΣ ΚΑΙ ΚΟΙΝΩΝΙΚΩΝ ΥΠΟΘΕΣΕΩΝ - ΥΓΕΙΑΣ - ΠΟΛΙΤΙΣΜΟΥ ΚΑΙ ΑΘΛΗΤΙΣΜΟΥ - ΔΙΚΑΙΟΣΥΝΗΣ - ΕΣΩΤΕΡΙΚΩΝ - ΨΗΦΙΑΚΗΣ ΔΙΑΚΥΒΕΡΝΗΣΗΣ - ΝΑΥΤΙΛΙΑΣ ΚΑΙ ΝΗΣΙΩΤΙΚΗΣ ΠΟΛΙΤΙΚΗΣ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 και 46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β)</w:t>
      </w:r>
      <w:r>
        <w:rPr>
          <w:lang w:val="en" w:eastAsia="en"/>
        </w:rPr>
        <w:tab/>
      </w:r>
      <w:r>
        <w:rPr>
          <w:lang w:val="el" w:eastAsia="el"/>
        </w:rPr>
        <w:t>του άρθρου 27 του ν. 4792/2021 «Ενσωμάτωση της Οδηγίας (ΕΕ) 2019/633 του Ευρωπαϊκού Κοινοβουλίου και του Συμβουλίου της 17ης Απριλίου 2019 σχετικά με τις αθέμιτες εμπορικές πρακτικές στις σχέσεις μεταξύ επιχειρήσεων στην αλυσίδα εφοδιασμού γεωργικών προϊόντων και τροφίμων και λοιπές διατάξεις» (Α’ 54),</w:t>
      </w:r>
    </w:p>
    <w:p>
      <w:pPr>
        <w:pStyle w:val="StructureList1"/>
        <w:spacing w:before="120" w:after="0"/>
        <w:rPr>
          <w:lang w:val="el" w:eastAsia="el"/>
        </w:rPr>
      </w:pPr>
      <w:r>
        <w:rPr>
          <w:lang w:val="el" w:eastAsia="el"/>
        </w:rPr>
        <w:t>γ)</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διοίκησης»(Α’ 133) και, ιδίως, της περ. 22 του άρθρου 119, σε συνδυασμό με το άρθρο 90 του Κώδικα νομοθεσίας για την Κυβέρνηση και τα κυβερνητικά όργανα (π.δ. 63/ 2005, Α’ 98),</w:t>
      </w:r>
    </w:p>
    <w:p>
      <w:pPr>
        <w:pStyle w:val="StructureList1"/>
        <w:spacing w:before="120" w:after="0"/>
        <w:rPr>
          <w:lang w:val="el" w:eastAsia="el"/>
        </w:rPr>
      </w:pPr>
      <w:r>
        <w:rPr>
          <w:lang w:val="el" w:eastAsia="el"/>
        </w:rPr>
        <w:t>δ)</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 του ν. 2292/1995 «Οργάνωση και λειτουργία Υπουργείου Εθνικής Άμυνας, διοίκηση και έλεγχος των Ενόπλων Δυνάμεων και άλλες διατάξεις» (Α’ 35), των π.δ. 18/2018 «Οργανισμός Υπουργείου Παιδείας, Έρευνας και Θρησκευμάτων» (Α’ 31), 134/2017 «Οργανισμός Υπουργείου Εργασίας, Κοινωνικής Ασφάλισης και Κοινωνικής Αλληλεγγύης» (Α’ 168), 121/2017 «Οργανισμός του Υπουργείου Υγείας» (Α’ 148), 4/2018 «Οργανισμός Υπουργείου Πολιτισμού και Αθλητισμού» (Α’ 7), 6/2021 «Οργανισμός του Υπουργείου Δικαιοσύνης» (Α’ 7), 133/2017 «Οργανισμός Υπουργείου Διοικητικής Ανασυγκρότησης» (Α’ 161), 141/2017 «Οργανισμός του Υπουργείου Εσωτερικών» (Α’ 180), 13/2018 «Οργανισμός Υπουργείου Ναυτιλίας και Νησιωτικής Πολιτικής» (Α’ 26), 40/2020 «Οργανισμός του Υπουργείου Ψηφιακής Διακυβέρνησης» (Α’ 85),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ε)</w:t>
      </w:r>
      <w:r>
        <w:rPr>
          <w:lang w:val="en" w:eastAsia="en"/>
        </w:rPr>
        <w:tab/>
      </w:r>
      <w:r>
        <w:rPr>
          <w:lang w:val="el" w:eastAsia="el"/>
        </w:rPr>
        <w:t>των π.δ. 83/2019 «Διορισμός Αντιπροέδρου της Κυβέρνησης, Υπουργών, Αναπληρωτών Υπουργών και Υφυπουργών» (Α’ 121 και Α’ 126 διορθώσεις σφαλμάτων), 37/2020 «Διορισμός Υφυπουργού Προστασίας του Πολίτη» (Α’ 65) και 2/2021 «Διορισμός Υπουργών, Αναπληρωτών Υπουργών και Υφυπουργών» (Α’ 2),</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ζ)</w:t>
      </w:r>
      <w:r>
        <w:rPr>
          <w:lang w:val="en" w:eastAsia="en"/>
        </w:rPr>
        <w:tab/>
      </w:r>
      <w:r>
        <w:rPr>
          <w:lang w:val="el" w:eastAsia="el"/>
        </w:rPr>
        <w:t>της υπό στοιχεία Υ1/8.1.2021 απόφασης του Πρωθυπουργού «Ανάθεση αρμοδιοτήτων στον Αναπληρωτή Υπουργό Εσωτερικών, Στυλιανό Πέτσα» (Β’ 48),</w:t>
      </w:r>
    </w:p>
    <w:p>
      <w:pPr>
        <w:pStyle w:val="StructureList1"/>
        <w:spacing w:before="120" w:after="0"/>
        <w:rPr>
          <w:lang w:val="el" w:eastAsia="el"/>
        </w:rPr>
      </w:pPr>
      <w:r>
        <w:rPr>
          <w:lang w:val="el" w:eastAsia="el"/>
        </w:rPr>
        <w:t>η)</w:t>
      </w:r>
      <w:r>
        <w:rPr>
          <w:lang w:val="en" w:eastAsia="en"/>
        </w:rPr>
        <w:tab/>
      </w:r>
      <w:r>
        <w:rPr>
          <w:lang w:val="el" w:eastAsia="el"/>
        </w:rPr>
        <w:t>της υπ’ αρ. 1673/27.3.2020 κοινής απόφασης του Πρωθυπουργού και του Υπουργού Προστασίας του Πολίτη «Ανάθεση αρμοδιοτήτων στον Υφυπουργό Προστασίας του Πολίτη, Νικόλαο Χαρδαλιά» (Β’ 1070),</w:t>
      </w:r>
    </w:p>
    <w:p>
      <w:pPr>
        <w:pStyle w:val="StructureList1"/>
        <w:spacing w:before="120" w:after="0"/>
        <w:rPr>
          <w:lang w:val="el" w:eastAsia="el"/>
        </w:rPr>
      </w:pPr>
      <w:r>
        <w:rPr>
          <w:lang w:val="el" w:eastAsia="el"/>
        </w:rPr>
        <w:t>θ)</w:t>
      </w:r>
      <w:r>
        <w:rPr>
          <w:lang w:val="en" w:eastAsia="en"/>
        </w:rPr>
        <w:tab/>
      </w:r>
      <w:r>
        <w:rPr>
          <w:lang w:val="el" w:eastAsia="el"/>
        </w:rPr>
        <w:t>της υπό στοιχεία 247153α/9.8.2019 κοινής απόφασης του Πρωθυπουργού και του Υπουργού Εθνικής Άμυνας «Ανάθεση αρμοδιοτήτων στον Υφυπουργό Εθνικής Άμυνας, Αλκιβιάδη Στεφανή» (Β’ 3181),</w:t>
      </w:r>
    </w:p>
    <w:p>
      <w:pPr>
        <w:pStyle w:val="StructureList1"/>
        <w:spacing w:before="120" w:after="0"/>
        <w:rPr>
          <w:lang w:val="el" w:eastAsia="el"/>
        </w:rPr>
      </w:pPr>
      <w:r>
        <w:rPr>
          <w:lang w:val="el" w:eastAsia="el"/>
        </w:rPr>
        <w:t>ι)</w:t>
      </w:r>
      <w:r>
        <w:rPr>
          <w:lang w:val="en" w:eastAsia="en"/>
        </w:rPr>
        <w:tab/>
      </w:r>
      <w:r>
        <w:rPr>
          <w:lang w:val="el" w:eastAsia="el"/>
        </w:rPr>
        <w:t>της υπό στοιχεία 168/Υ1/8.1.2021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StructureList1"/>
        <w:spacing w:before="120" w:after="0"/>
        <w:rPr>
          <w:lang w:val="el" w:eastAsia="el"/>
        </w:rPr>
      </w:pPr>
      <w:r>
        <w:rPr>
          <w:lang w:val="el" w:eastAsia="el"/>
        </w:rPr>
        <w:t>ια)</w:t>
      </w:r>
      <w:r>
        <w:rPr>
          <w:lang w:val="en" w:eastAsia="en"/>
        </w:rPr>
        <w:tab/>
      </w:r>
      <w:r>
        <w:rPr>
          <w:lang w:val="el" w:eastAsia="el"/>
        </w:rPr>
        <w:t>της υπό στοιχεία 169/Υ1/8.1.2021 κοινής απόφασης του Πρωθυπουργού και της Υπουργού Παιδείας και Θρησκευμάτων «Ανάθεση αρμοδιοτήτων στον Υφυπουργό Παιδείας και Θρησκευμάτων, Ευάγγελο Συρίγο» (Β’ 33), ιβ) της υπ’ αρ. 8071/8.1.2021 κοινής απόφασης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StructureList1"/>
        <w:spacing w:before="120" w:after="0"/>
        <w:rPr>
          <w:lang w:val="el" w:eastAsia="el"/>
        </w:rPr>
      </w:pPr>
      <w:r>
        <w:rPr>
          <w:lang w:val="el" w:eastAsia="el"/>
        </w:rPr>
        <w:t>ιγ)</w:t>
      </w:r>
      <w:r>
        <w:rPr>
          <w:lang w:val="en" w:eastAsia="en"/>
        </w:rPr>
        <w:tab/>
      </w:r>
      <w:r>
        <w:rPr>
          <w:lang w:val="el" w:eastAsia="el"/>
        </w:rPr>
        <w:t>της υπ’ αρ. 1033/7.1.2021 κοινής απόφασης του Πρωθυπουργού και του Υπουργού Επικρατείας «Ανάθεση αρμοδιοτήτων στον Υφυπουργό Ψηφιακής Διακυβέρνησης, Γεώργιο Γεωργαντά» (Β’ 22),</w:t>
      </w:r>
    </w:p>
    <w:p>
      <w:pPr>
        <w:pStyle w:val="StructureList1"/>
        <w:spacing w:before="120" w:after="0"/>
        <w:rPr>
          <w:lang w:val="el" w:eastAsia="el"/>
        </w:rPr>
      </w:pPr>
      <w:r>
        <w:rPr>
          <w:lang w:val="el" w:eastAsia="el"/>
        </w:rPr>
        <w:t>ιδ)</w:t>
      </w:r>
      <w:r>
        <w:rPr>
          <w:lang w:val="en" w:eastAsia="en"/>
        </w:rPr>
        <w:tab/>
      </w:r>
      <w:r>
        <w:rPr>
          <w:lang w:val="el" w:eastAsia="el"/>
        </w:rPr>
        <w:t>της υπό στοιχεία Δ1α/Γ.Π.οικ.26390/24.4.2021 κοινής απόφασης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την υπό στοιχεία Δ1α/Γ.Π.οικ.28499/7.5.2021 κοινή απόφαση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Επικρατείας «Τροποποίηση της υπό στοιχεία Δ1α/Γ.Π.οικ.26390/24.4.2021 κοινής υπουργικής απόφασης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(Β’ 1870).</w:t>
      </w:r>
    </w:p>
    <w:p>
      <w:pPr>
        <w:pStyle w:val="PreambelText"/>
        <w:spacing w:before="240" w:after="240"/>
        <w:rPr>
          <w:lang w:val="el" w:eastAsia="el"/>
        </w:rPr>
      </w:pPr>
      <w:r>
        <w:rPr>
          <w:lang w:val="el" w:eastAsia="el"/>
        </w:rPr>
        <w:t>2. Τις από 23.4.2021 και 7.5.2021 γνώμες της Εθνικής Επιτροπής Προστασίας Δημόσιας Υγείας του Υπουργείου Υγείας.</w:t>
      </w:r>
    </w:p>
    <w:p>
      <w:pPr>
        <w:pStyle w:val="PreambelText"/>
        <w:spacing w:before="240" w:after="240"/>
        <w:rPr>
          <w:lang w:val="el" w:eastAsia="el"/>
        </w:rPr>
      </w:pPr>
      <w:r>
        <w:rPr>
          <w:lang w:val="el" w:eastAsia="el"/>
        </w:rPr>
        <w:t>3. Την υπό στοιχεία Β1α,Β2α/οικ.32206/24.5.2021 βεβαίωση της Διεύθυνσης Προϋπολογισμού και Δημοσιονομικών Αναφορών της Γενικής Διεύθυνσης Οικονομικών Υπηρεσιών του Υπουργείου Υγείας,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lang w:val="el" w:eastAsia="el"/>
        </w:rPr>
        <w:t>4. Την ανάγκη σταδιακής αποκατάστασης της εύρυθμης λειτουργίας των υπηρεσιών του δημοσίου τομέα χωρίς να τίθεται σε κίνδυνο η αντιιμετώπιση της διασποράς του κορωνοϊού COVID-19,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Στην υπό στοιχεία Δ1α/Γ.Π.οικ.26390/24.4.2021 κοινή απόφαση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την υπό στοιχεία Δ1α/Γ.Π.οικ.28499/7.5.2021 κοινή απόφαση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Επικρατείας «Τροποποίηση της υπό στοιχεία Δ1α/Γ.Π.οικ.26390/24.4.2021 κοινής υπουργικής απόφασης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(Β’ 1870),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άρθρο 1, περί του πεδίου εφαρμογής,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Οι διατάξεις της παρούσας εφαρμόζονται για όλο το προσωπικό του Δημοσίου που απασχολείται με οποιαδήποτε σχέση εργασίας ή με πάγια αντιμισθία ή με έμμισθη εντολή ή με οποιαδήποτε άλλη ιδιότητα, ιδίως πρακτική άσκηση, σε υπηρεσίες φορέων που ανήκουν στον δημόσιο τομέα, όπως αυτός ορίζεται στην περ. α’ της παρ. 1 του άρθρου 14 του ν. 4270/2014 (Α’ 143), καθώς και στους δικαστικούς υπαλλήλους, εφόσον τα καθήκοντα του προσωπικού αυτού ασκούνται με φυσική παρουσία εντός ή εκτός των εγκαταστάσεων της υπηρεσίας του και οι εργαζόμενοι αυτοί είναι απογεγραμμένοι στο Μητρώο Ανθρώπινου Δυναμικού Ελληνικού Δημοσίου.</w:t>
      </w:r>
    </w:p>
    <w:p>
      <w:pPr>
        <w:spacing w:before="240" w:after="240"/>
        <w:rPr>
          <w:lang w:val="el" w:eastAsia="el"/>
        </w:rPr>
      </w:pPr>
      <w:r>
        <w:rPr>
          <w:lang w:val="el" w:eastAsia="el"/>
        </w:rPr>
        <w:t>2. Δεν υπάγονται στις διατάξεις της παρ. 1 πάσης φύσεως απασχολούμενοι, για τους οποίους προβλέπονται αντίστοιχες ρυθμίσεις που εκδίδονται κατ’ εξουσιοδότηση των άρθρων 2, 46 και 96 του ν. 4790/2021 (Α’ 48).». β) Η παρ. 1 του άρθρου 7, περί των μεταβατικών διατάξεων, αντικαθίσταται ως εξής:</w:t>
      </w:r>
    </w:p>
    <w:p>
      <w:pPr>
        <w:spacing w:before="240" w:after="240"/>
        <w:rPr>
          <w:lang w:val="el" w:eastAsia="el"/>
        </w:rPr>
      </w:pPr>
      <w:r>
        <w:rPr>
          <w:lang w:val="el" w:eastAsia="el"/>
        </w:rPr>
        <w:t>«1. α) Από τις 25.5.2021 έως τις 29.5.2021 στα πρόσωπα του άρθρου 1 διανέμονται δωρεάν δύο (2) αυτοδιαγνωστικές δοκιμασίες ελέγχου (self test), μία για την εβδομάδα από 24.5.2021 έως 30.5.2021 και μία για την εβδομάδα από 31.5.2021 έως 6.6.2021.</w:t>
      </w:r>
    </w:p>
    <w:p>
      <w:pPr>
        <w:spacing w:before="240" w:after="240"/>
        <w:rPr>
          <w:lang w:val="el" w:eastAsia="el"/>
        </w:rPr>
      </w:pPr>
      <w:r>
        <w:rPr>
          <w:lang w:val="el" w:eastAsia="el"/>
        </w:rPr>
        <w:t>β) Για την εβδομάδα από 24.5.2021 έως 30.5.2021 δεν ισχύει η υποχρέωση διενέργειας αυτοδιαγνωστικής δοκιμασίας ελέγχου έως και είκοσι τέσσερις (24) ώρες προ της πρώτης ημέρας της εβδομάδας που ο εργαζόμενος παρέχει την εργασία του με φυσική παρουσία και τα πρόσωπα του άρθρου 1 μπορούν να υποβάλλονται και να δηλώνουν το αποτέλεσμα του διαγνωστικού ελέγχου νόσησης από τον κορωνοϊό COVID-19 εντός του χρονικού διαστήματος από 24.5.2021 έως 30.5.2021.</w:t>
      </w:r>
    </w:p>
    <w:p>
      <w:pPr>
        <w:spacing w:before="240" w:after="240"/>
        <w:rPr>
          <w:lang w:val="el" w:eastAsia="el"/>
        </w:rPr>
      </w:pPr>
      <w:r>
        <w:rPr>
          <w:lang w:val="el" w:eastAsia="el"/>
        </w:rPr>
        <w:t>γ) Προμήθεια δωρεάν αυτοδιαγνωστικών δοκιμασιών ελέγχου (self test), σύμφωνα με την περ. α), δικαιούται το προσωπικό του άρθρου 1, ανεξαρτήτως της προϋποθέσεως παροχής εργασίας με φυσική παρουσία στον τόπο</w:t>
      </w:r>
    </w:p>
    <w:p>
      <w:pPr>
        <w:spacing w:before="240" w:after="240"/>
        <w:rPr>
          <w:lang w:val="el" w:eastAsia="el"/>
        </w:rPr>
      </w:pPr>
      <w:r>
        <w:rPr>
          <w:lang w:val="el" w:eastAsia="el"/>
        </w:rPr>
        <w:t>εργασίας, χωρίς υποχρέωση δήλωσης αποτελέσματος και οιασδήποτε περαιτέρω δυσμενούς συνέπειας, εφόσον κατά το χρονικό διάστημα από 24.5.2021 έως 6.6.2021 δεν παρασχεθεί εργασία με φυσική παρουσία στον τόπο εργασίας.».</w:t>
      </w:r>
    </w:p>
    <w:p>
      <w:pPr>
        <w:pStyle w:val="MainText"/>
        <w:spacing w:before="120" w:after="0"/>
        <w:rPr>
          <w:lang w:val="el" w:eastAsia="el"/>
        </w:rPr>
      </w:pPr>
      <w:r>
        <w:rPr>
          <w:b/>
          <w:bCs/>
          <w:lang w:val="el" w:eastAsia="el"/>
        </w:rPr>
        <w:t>2.</w:t>
      </w:r>
      <w:r>
        <w:rPr>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Μαΐου 2021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