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504/2021</w:t>
      </w:r>
    </w:p>
    <w:p>
      <w:pPr>
        <w:pStyle w:val="Title"/>
        <w:spacing w:before="120" w:after="360"/>
        <w:rPr>
          <w:lang w:val="el" w:eastAsia="el"/>
        </w:rPr>
      </w:pPr>
      <w:r>
        <w:rPr>
          <w:lang w:val="el" w:eastAsia="el"/>
        </w:rPr>
        <w:t>Διαδικασία υποβολής εκδήλωσης ενδιαφέροντος για το προσωρινό μέτρο ενίσχυσης με τη μορφή επιδότησης παγίων δαπανών σε επιχειρήσεις που επλήγησαν οικονομικά λόγω της εμφάνισης και διάδοσης του κορωνοϊού COVID-19, κατά τους μήνες Απρίλιο ως και Δεκέμβριο 2020</w:t>
      </w:r>
    </w:p>
    <w:p>
      <w:pPr>
        <w:pStyle w:val="Title"/>
        <w:spacing w:before="120" w:after="360"/>
        <w:rPr>
          <w:lang w:val="el" w:eastAsia="el"/>
        </w:rPr>
      </w:pPr>
      <w:r>
        <w:rPr>
          <w:b/>
          <w:bCs/>
          <w:lang w:val="el" w:eastAsia="el"/>
        </w:rPr>
        <w:t>Αριθμ. ΓΔΟΥ 504/2021</w:t>
      </w:r>
    </w:p>
    <w:p>
      <w:pPr>
        <w:pStyle w:val="PreambelText"/>
        <w:spacing w:before="240" w:after="240"/>
        <w:rPr>
          <w:lang w:val="el" w:eastAsia="el"/>
        </w:rPr>
      </w:pPr>
      <w:r>
        <w:rPr>
          <w:lang w:val="el" w:eastAsia="el"/>
        </w:rPr>
        <w:t>(ΦΕΚ Β' 2236/29-05-2021)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4.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ιδίως τα τμήματα 3.1. και 3.12 αυτού.</w:t>
      </w:r>
    </w:p>
    <w:p>
      <w:pPr>
        <w:pStyle w:val="PreambelText"/>
        <w:spacing w:before="240" w:after="240"/>
        <w:rPr>
          <w:lang w:val="el" w:eastAsia="el"/>
        </w:rPr>
      </w:pPr>
      <w:r>
        <w:rPr>
          <w:lang w:val="el" w:eastAsia="el"/>
        </w:rPr>
        <w:t>5.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 π.δ. 62/2020 «Διορισμός Αναπληρωτών Υπουργών και Υφυπουργών» (Α' 155).</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12. Το π.δ. 134/2017 «Οργανισμός του Υπουργείου Εργασίας, Κοινωνικής Ασφάλισης και Κοινωνικής Αλληλεγγύης» (Α' 168), όπως τροποποιήθηκε με το άρθρο 2 του π.δ. 84/2019 (Α' 123).</w:t>
      </w:r>
    </w:p>
    <w:p>
      <w:pPr>
        <w:pStyle w:val="PreambelText"/>
        <w:spacing w:before="240" w:after="240"/>
        <w:rPr>
          <w:lang w:val="el" w:eastAsia="el"/>
        </w:rPr>
      </w:pPr>
      <w:r>
        <w:rPr>
          <w:lang w:val="el" w:eastAsia="el"/>
        </w:rPr>
        <w:t>13. Το π.δ. 80/2016 «Ανάληψη υποχρεώσεων από τους διατάκτες» (Α' 145).</w:t>
      </w:r>
    </w:p>
    <w:p>
      <w:pPr>
        <w:pStyle w:val="PreambelText"/>
        <w:spacing w:before="240" w:after="240"/>
        <w:rPr>
          <w:lang w:val="el" w:eastAsia="el"/>
        </w:rPr>
      </w:pPr>
      <w:r>
        <w:rPr>
          <w:lang w:val="el" w:eastAsia="el"/>
        </w:rPr>
        <w:t>14.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17. Την υπό στοιχεία οικ.32081/Δ1.10120/06.08.2020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18.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 αρ. Α.1076/2020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21. 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22.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23. Την από 28.05.2021 εισήγηση του Διοικητή της Ανεξάρτητης Αρχής Δημοσίων Εσόδων.</w:t>
      </w:r>
    </w:p>
    <w:p>
      <w:pPr>
        <w:pStyle w:val="PreambelText"/>
        <w:spacing w:before="240" w:after="240"/>
        <w:rPr>
          <w:lang w:val="el" w:eastAsia="el"/>
        </w:rPr>
      </w:pPr>
      <w:r>
        <w:rPr>
          <w:lang w:val="el" w:eastAsia="el"/>
        </w:rPr>
        <w:t>24. Την υπό στοιχεία 62461 ΕΞ 2021/27.05.2021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απόφασης δεν προκαλείται δαπάνη σε βάρος του κρατικού προϋπολογισμού οικονομικού έτους 2021,</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επιδότησης παγίων δαπανών, για μη καλυπτόμενες πάγιες δαπάνες, για το διάστημα από 1η Απριλίου 2020 ως και 31 Δεκεμβρίου 2020, μέσω πιστωτικού που μπορεί να χρησιμοποιηθεί έως την 31η Δεκεμβρίου 2021, για αποπληρωμή τρεχουσών φορολογικών οφειλών έτους 2021 που καθίστανται πληρωτέες από 1η Ιουλίου 2021 μέχρι 31η Δεκεμβρίου 2021 ή και τρεχουσών ασφαλιστικών εισφορών έτους 2021 που καθίστανται πληρωτέες από 1η Ιουλίου 2021 μέχρι 31η Δεκεμβρίου 2021,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b/>
          <w:bCs/>
          <w:lang w:val="el" w:eastAsia="el"/>
        </w:rPr>
        <w:t>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b/>
          <w:bCs/>
          <w:lang w:val="el" w:eastAsia="el"/>
        </w:rPr>
        <w:t>β)</w:t>
      </w:r>
      <w:r>
        <w:rPr>
          <w:b/>
          <w:bCs/>
          <w:lang w:val="en" w:eastAsia="en"/>
        </w:rPr>
        <w:tab/>
      </w:r>
      <w:r>
        <w:rPr>
          <w:b/>
          <w:bCs/>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πληρούν σωρευτικά τις κάτωθι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έχουν την έδρα τους ή μόνιμη εγκατάσταση στην Ελλάδα και λειτουργούν νομίμως,</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απασχολούσαν τουλάχιστον έναν (1) εργαζόμενο πλήρους απασχόλησης ή δύο (2) εργαζόμενους μερικής απασχόλησης, με σχέση εξαρτημένης εργασίας, κατά την 1η Αυγούστου 2020 ή κατά την 28η Οκτωβρίου 2020 ή κατά την 1η Μαΐου 2021, σύμφωνα με τα στοιχεία του συστήματος ΕΡΓΑΝΗ,</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 είχαν ενεργό κύριο ΚΑΔ στις 31 Δεκεμβρίου 2020 έναν από τους περιγραφόμενους στο Παράρτημα Ι, το οποίο και αποτελεί αναπόσπαστο μέρος της παρούσας απόφασης, ή των οποίων τα ακαθάριστα έσοδα ενεργού κατά την 31 Δεκεμβρίου 2020 ΚΑΔ δευτερεύουσας δραστηριότητας από τους περιγραφόμενους στο Παράρτημα I, όπως αυτά προκύπτουν από την αρχική δήλωση φορολογίας εισοδήματος φορολογικού έτους 2019, είναι μεγαλύτερα από τα ακαθάριστα έσοδα που αντιστοιχούν στον κύριο ΚΑΔ στις 31 Δεκεμβρίου 2020,</w:t>
      </w:r>
    </w:p>
    <w:p>
      <w:pPr>
        <w:pStyle w:val="StructureList1"/>
        <w:spacing w:before="120" w:after="0"/>
        <w:rPr>
          <w:lang w:val="el" w:eastAsia="el"/>
        </w:rPr>
      </w:pPr>
      <w:r>
        <w:rPr>
          <w:b/>
          <w:bCs/>
          <w:lang w:val="el" w:eastAsia="el"/>
        </w:rPr>
        <w:t>δδ)</w:t>
      </w:r>
      <w:r>
        <w:rPr>
          <w:b/>
          <w:bCs/>
          <w:lang w:val="en" w:eastAsia="en"/>
        </w:rPr>
        <w:tab/>
      </w:r>
      <w:r>
        <w:rPr>
          <w:b/>
          <w:bCs/>
          <w:lang w:val="el" w:eastAsia="el"/>
        </w:rPr>
        <w:t>όσον αφορά τις δηλώσεις φορολογίας εισοδήματος και ΦΠΑ, εφόσον είχαν κατά νόμο υποχρέωση να τις υποβάλουν:</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i)</w:t>
      </w:r>
      <w:r>
        <w:rPr>
          <w:b/>
          <w:bCs/>
          <w:lang w:val="en" w:eastAsia="en"/>
        </w:rPr>
        <w:tab/>
      </w:r>
      <w:r>
        <w:rPr>
          <w:b/>
          <w:bCs/>
          <w:lang w:val="el" w:eastAsia="el"/>
        </w:rPr>
        <w:t>έχουν υποβάλει τη δήλωση φορολογίας εισοδήματος για το φορολογικό έτος 2019, έως και την προηγούμενη ημέρα από την έναρξη ισχύος της παρούσας απόφασης,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ii)</w:t>
      </w:r>
      <w:r>
        <w:rPr>
          <w:b/>
          <w:bCs/>
          <w:lang w:val="en" w:eastAsia="en"/>
        </w:rPr>
        <w:tab/>
      </w:r>
      <w:r>
        <w:rPr>
          <w:b/>
          <w:bCs/>
          <w:lang w:val="el" w:eastAsia="el"/>
        </w:rPr>
        <w:t>έχουν οριστικοποιήσει το έντυπο Ε3 για το φορολογικό έτος 2020, έως και την προθεσμία της παρ. 7 της παρούσας, εφόσον τηρούν διαχειριστική χρήση που λήγει την 31η Δεκεμβρίου,</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iii)</w:t>
      </w:r>
      <w:r>
        <w:rPr>
          <w:b/>
          <w:bCs/>
          <w:lang w:val="en" w:eastAsia="en"/>
        </w:rPr>
        <w:tab/>
      </w:r>
      <w:r>
        <w:rPr>
          <w:b/>
          <w:bCs/>
          <w:lang w:val="el" w:eastAsia="el"/>
        </w:rPr>
        <w:t>έχουν υποβάλει όλες τις δηλώσεις ΦΠΑ για την περίοδο από 1η Ιανουαρίου 2019 μέχρι την 31η Μαρτίου 2021, έως και την προηγούμενη ημέρα από την έναρξη ισχύος της παρούσας απόφασης.</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εε)</w:t>
      </w:r>
      <w:r>
        <w:rPr>
          <w:b/>
          <w:bCs/>
          <w:lang w:val="en" w:eastAsia="en"/>
        </w:rPr>
        <w:tab/>
      </w:r>
      <w:r>
        <w:rPr>
          <w:b/>
          <w:bCs/>
          <w:lang w:val="el" w:eastAsia="el"/>
        </w:rPr>
        <w:t xml:space="preserve"> δεν έχουν τεθεί σε αδράνεια από την 1η Ιανουαρίου 2019 και μετά,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στστ)</w:t>
      </w:r>
      <w:r>
        <w:rPr>
          <w:b/>
          <w:bCs/>
          <w:lang w:val="en" w:eastAsia="en"/>
        </w:rPr>
        <w:tab/>
      </w:r>
      <w:r>
        <w:rPr>
          <w:b/>
          <w:bCs/>
          <w:lang w:val="el" w:eastAsia="el"/>
        </w:rPr>
        <w:t xml:space="preserve"> δεν έχει ανασταλεί, μέχρι και την ημερομηνία ισχύος της παρούσας, η χρήση του ΑΦΜ της επιχείρησης για τη διενέργεια ενδοκοινοτικών συναλλαγών σύμφωνα με την υπό στοιχεία ΓΓΔΕ ΠΟΛ.1200/2015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ζζ)</w:t>
      </w:r>
      <w:r>
        <w:rPr>
          <w:b/>
          <w:bCs/>
          <w:lang w:val="en" w:eastAsia="en"/>
        </w:rPr>
        <w:tab/>
      </w:r>
      <w:r>
        <w:rPr>
          <w:b/>
          <w:bCs/>
          <w:lang w:val="el" w:eastAsia="el"/>
        </w:rPr>
        <w:t xml:space="preserve"> δεν συντρέχουν οι λόγοι αποκλεισμού της παρ. 1 του άρθρου 40 του ν. 4488/2017 (Α' 137),</w:t>
      </w:r>
    </w:p>
    <w:p>
      <w:pPr>
        <w:pStyle w:val="StructureList1"/>
        <w:spacing w:before="120" w:after="0"/>
        <w:rPr>
          <w:lang w:val="el" w:eastAsia="el"/>
        </w:rPr>
      </w:pPr>
      <w:r>
        <w:rPr>
          <w:b/>
          <w:bCs/>
          <w:lang w:val="el" w:eastAsia="el"/>
        </w:rPr>
        <w:t>ηη)</w:t>
      </w:r>
      <w:r>
        <w:rPr>
          <w:b/>
          <w:bCs/>
          <w:lang w:val="en" w:eastAsia="en"/>
        </w:rPr>
        <w:tab/>
      </w:r>
      <w:r>
        <w:rPr>
          <w:b/>
          <w:bCs/>
          <w:lang w:val="el" w:eastAsia="el"/>
        </w:rPr>
        <w:t xml:space="preserve"> είναι υπόχρεες σε τήρηση και έκδοση λογιστικών αρχείων,</w:t>
      </w:r>
    </w:p>
    <w:p>
      <w:pPr>
        <w:pStyle w:val="StructureList1"/>
        <w:spacing w:before="120" w:after="0"/>
        <w:rPr>
          <w:lang w:val="el" w:eastAsia="el"/>
        </w:rPr>
      </w:pPr>
      <w:r>
        <w:rPr>
          <w:b/>
          <w:bCs/>
          <w:lang w:val="el" w:eastAsia="el"/>
        </w:rPr>
        <w:t>θθ)</w:t>
      </w:r>
      <w:r>
        <w:rPr>
          <w:b/>
          <w:bCs/>
          <w:lang w:val="en" w:eastAsia="en"/>
        </w:rPr>
        <w:tab/>
      </w:r>
      <w:r>
        <w:rPr>
          <w:b/>
          <w:bCs/>
          <w:lang w:val="el" w:eastAsia="el"/>
        </w:rPr>
        <w:t xml:space="preserve"> έχουν κάνει έναρξη εργασιών πριν την 31η Δεκεμβρίου 2020,</w:t>
      </w:r>
    </w:p>
    <w:p>
      <w:pPr>
        <w:pStyle w:val="StructureList1"/>
        <w:spacing w:before="120" w:after="0"/>
        <w:rPr>
          <w:lang w:val="el" w:eastAsia="el"/>
        </w:rPr>
      </w:pPr>
      <w:r>
        <w:rPr>
          <w:b/>
          <w:bCs/>
          <w:lang w:val="el" w:eastAsia="el"/>
        </w:rPr>
        <w:t>ιι)</w:t>
      </w:r>
      <w:r>
        <w:rPr>
          <w:b/>
          <w:bCs/>
          <w:lang w:val="en" w:eastAsia="en"/>
        </w:rPr>
        <w:tab/>
      </w:r>
      <w:r>
        <w:rPr>
          <w:b/>
          <w:bCs/>
          <w:lang w:val="el" w:eastAsia="el"/>
        </w:rPr>
        <w:t xml:space="preserve"> είναι υποκείμενες σε ΦΠΑ ανεξαρτήτως μεγέθους ή είναι μικρομεσαίες επιχειρήσεις, σύμφωνα με τον ορισμό του Παραρτήματος Ι του Κανονισμού 651/2014, μη υποκείμενες σε ΦΠΑ ή υποκείμενες και απαλλασσόμενες.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τις επιχειρήσεις της παρ. 1 εξαιρούνται τα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Εκδήλωση ενδιαφέροντος δύνανται να υποβάλλουν οι επιχειρήσεις της παρ. 1 οι οποίες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υπάγονται σε συλλογική πτωχευτική διαδικασία ή άλλη διαδικασία αφερεγγυότητας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εντός της προθεσμίας της παρ. 7 και πριν την υποβολή εκδήλωσης ενδιαφέροντος. Ειδικά για τις επιχειρήσεις που τηρούν διαφορετική διαχειριστική χρήση από τη διαχειριστική χρήση που λήγει την 31η Δεκεμβρίου, να έχουν υποβάλλει, τη δήλωση φορολογίας εισοδήματος του φορολογικού έτους 2019 εντός της προθεσμίας της παρ. 7 και πριν την υποβολή εκδήλωσης ενδιαφέροντος.</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εκδήλωση ενδιαφέροντος και τα ως άνω συνοδευτικά στοιχεία υποβάλλονται στην πλατφόρμα έως τις 2 Ιουλίου 2021.</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Οι προϋποθέσεις υπαγωγής στο μέτρο της επιδότησης παγίων δαπανών για μη καλυπτόμενες πάγιες δαπάνες, οι περαιτέρω λεπτομέρειες για τη μορφή της ενίσχυσης, το μέσο, το ύψος, η μεθοδολογία προσδιορισμού και η ένταση της ενίσχυσης, ο προσδιορισμός των επιλέξιμων παγίων δαπανών,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ο μηχανισμός διασφάλισης μη υπέρβασης της μέγιστης έντασης της ενίσχυσης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ΚΩΔΙΚΟΙ ΑΡΙΘΜΟΙ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παρούσα απόφαση.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lang w:val="el" w:eastAsia="el"/>
        </w:rPr>
        <w:t xml:space="preserve">Η απόφαση αυτή να δημοσιευθεί στην Εφημερίδα της Κυβερνήσεως. </w:t>
      </w:r>
    </w:p>
    <w:p>
      <w:pPr>
        <w:spacing w:before="240" w:after="240"/>
        <w:rPr>
          <w:lang w:val="el" w:eastAsia="el"/>
        </w:rPr>
      </w:pPr>
      <w:r>
        <w:rPr>
          <w:b/>
          <w:bCs/>
          <w:lang w:val="el" w:eastAsia="el"/>
        </w:rPr>
        <w:t>Αθήνα, 28 Μαΐου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 xml:space="preserve">Αναπληρωτής Υπουργός Οικονομικών </w:t>
      </w:r>
    </w:p>
    <w:p>
      <w:pPr>
        <w:spacing w:before="240" w:after="240"/>
        <w:rPr>
          <w:lang w:val="el" w:eastAsia="el"/>
        </w:rPr>
      </w:pPr>
      <w:r>
        <w:rPr>
          <w:b/>
          <w:bCs/>
          <w:lang w:val="el" w:eastAsia="el"/>
        </w:rPr>
        <w:t xml:space="preserve">ΘΕΟΔΩΡΟΣ ΣΚΥΛΑΚΑΚΗΣ </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Υφυπουργός Εργασίας και Κοινωνικών Υποθέσεων</w:t>
      </w:r>
    </w:p>
    <w:p>
      <w:pPr>
        <w:spacing w:before="240" w:after="240"/>
        <w:rPr>
          <w:lang w:val="el" w:eastAsia="el"/>
        </w:rPr>
      </w:pPr>
      <w:r>
        <w:rPr>
          <w:b/>
          <w:bCs/>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568/2021 16.06.2021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568/2021 16.06.2021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568/2021 16.06.2021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