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35278</w:t>
      </w:r>
    </w:p>
    <w:p>
      <w:pPr>
        <w:pStyle w:val="PreambelText"/>
        <w:spacing w:before="240" w:after="240"/>
        <w:rPr>
          <w:lang w:val="el" w:eastAsia="el"/>
        </w:rPr>
      </w:pPr>
      <w:r>
        <w:rPr>
          <w:b/>
          <w:bCs/>
          <w:lang w:val="el" w:eastAsia="el"/>
        </w:rPr>
        <w:t>Πρόγραμμα επιδότησης διακοπών εργαζομένων, ανέργων και οικογενειών αυτών περιόδου 2021 - 2022, με Επιταγή Κοινωνικού Τουρισμού.</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 Το άρθρο 20 του ν. 4270/2014 «Αρχές δημοσιονομικής διαχείρισης και εποπτείας (ενσωμάτωση της Οδηγίας 2011/85/ΕΕ)-δημόσιο λογιστικό και άλλες διατάξεις» (Α’ 143).</w:t>
      </w:r>
    </w:p>
    <w:p>
      <w:pPr>
        <w:pStyle w:val="PreambelText"/>
        <w:spacing w:before="240" w:after="240"/>
        <w:rPr>
          <w:lang w:val="el" w:eastAsia="el"/>
        </w:rPr>
      </w:pPr>
      <w:r>
        <w:rPr>
          <w:lang w:val="el" w:eastAsia="el"/>
        </w:rPr>
        <w:t>3. Τον ν. 2956/2001 «Αναδιάρθρωση του ΟΑΕΔ και άλλες διατάξεις», (Α’ 258).</w:t>
      </w:r>
    </w:p>
    <w:p>
      <w:pPr>
        <w:pStyle w:val="PreambelText"/>
        <w:spacing w:before="240" w:after="240"/>
        <w:rPr>
          <w:lang w:val="el" w:eastAsia="el"/>
        </w:rPr>
      </w:pPr>
      <w:r>
        <w:rPr>
          <w:lang w:val="el" w:eastAsia="el"/>
        </w:rPr>
        <w:t>4. Το άρθρο 90 του π.δ. 63/22-4-2005 «Κωδικοποίηση της νομοθεσίας για την Κυβέρνηση και τα κυβερνητικά όργανα»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5. Το π.δ. 81/2019 «Σύσταση, συγχώνευση μετονομασία …..μεταξύ Υπουργείων» (Α’ 119).</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2/2021 «Διορισμός Υπουργών, Αναπληρωτών Υπουργών και Υφυπουργών» (Α’ 2).</w:t>
      </w:r>
    </w:p>
    <w:p>
      <w:pPr>
        <w:pStyle w:val="PreambelText"/>
        <w:spacing w:before="240" w:after="240"/>
        <w:rPr>
          <w:lang w:val="el" w:eastAsia="el"/>
        </w:rPr>
      </w:pPr>
      <w:r>
        <w:rPr>
          <w:lang w:val="el" w:eastAsia="el"/>
        </w:rPr>
        <w:t>9. Το άρθρο 16 του π.δ. 134/25-10-2017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Την υπ’ αρ. 35052/5383/1.6.2021 απόφαση του Υπουργού Εργασίας και Κοινωνικών Υποθέσεων σχετικά με την ανάληψη δαπάνης για το έτος 2022 (ΑΔΑ: ΨΝ6Ο46ΜΤΛΚ-ΞΨΥ) και τις αποφάσεις ανάληψης υποχρέωσης για το τρέχον έτος με ΑΔΑ: ΩΑΜΒ4691Ω2-ΙΨΦ, Ψ49Ω4691Ω2-ΑΝΕ, ΨΞ7Φ4691Ω2-ΝΡΚ, ΨΠΙΒ4691Ω2-ΣΑΞ, 6ΒΓ54691Ω2-ΩΘΔ, 6Ω3Κ4691Ω2-1ΒΨ, ΩΙΚΟ4691Ω2-ΚΤΜ.</w:t>
      </w:r>
    </w:p>
    <w:p>
      <w:pPr>
        <w:pStyle w:val="PreambelText"/>
        <w:spacing w:before="240" w:after="240"/>
        <w:rPr>
          <w:lang w:val="el" w:eastAsia="el"/>
        </w:rPr>
      </w:pPr>
      <w:r>
        <w:rPr>
          <w:lang w:val="el" w:eastAsia="el"/>
        </w:rPr>
        <w:t>13. Τα υπ’ αρ. 4914/27-01-2021 και 25716/19-05-2021 έγγραφα του ΟΑΕΔ με τα οποία διαβιβάστηκαν οι υπ’ αρ. 688/06/19-01-2021 και 2905/53/18-05-2021 αποφάσεις του Δ.Σ. του Οργανισμού του ΟΑΕΔ.</w:t>
      </w:r>
    </w:p>
    <w:p>
      <w:pPr>
        <w:pStyle w:val="PreambelText"/>
        <w:spacing w:before="240" w:after="240"/>
        <w:rPr>
          <w:lang w:val="el" w:eastAsia="el"/>
        </w:rPr>
      </w:pPr>
      <w:r>
        <w:rPr>
          <w:lang w:val="el" w:eastAsia="el"/>
        </w:rPr>
        <w:t>14. Την υπ’ αρ. 36219/2-6-2021 εισήγηση του προϊσταμένου της ΓΔΟΥ του Υπουργείου Εργασίας και Κοινωνικών Υποθέσεων.</w:t>
      </w:r>
    </w:p>
    <w:p>
      <w:pPr>
        <w:pStyle w:val="PreambelText"/>
        <w:spacing w:before="240" w:after="240"/>
        <w:rPr>
          <w:lang w:val="el" w:eastAsia="el"/>
        </w:rPr>
      </w:pPr>
      <w:r>
        <w:rPr>
          <w:lang w:val="el" w:eastAsia="el"/>
        </w:rPr>
        <w:t>15. Το γεγονός ότι από τις διατάξεις αυτής της απόφασης προκαλείται για το έτος 2021 δαπάνη ύψους 12.000.000,00 € και για το έτος 2022 δαπάνη ύψους 18.000.000,00 € κατ’ ανώτατο όριο σε βάρος του προϋπολογισμού του Ενιαίου Λογαριασμού για την Εφαρμογή Κοινωνικών Πολιτικών (ΕΛΕΚΠ) (ΚΑΕ 2639), η οποία είναι εντός των ορίων του προϋπολογισμού του ΟΑΕΔ και του τρέχοντος ΜΠΔΣ, 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2021-2022,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2021-2022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eΕΦ- ΚΑ με εισφορές υπέρ της Εργατικής Εστίας σύμφωνα με την περ. α’ της παρ. 1 του άρθρο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του άρθρου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με βάση το ισχύον θεσμικό πλαίσιο στο Ειδικό Μητρώο Ανέργων ΑμεΑ του ΟΑΕΔ. Κρίσιμος χρόνος συνδρομής της προϋπόθεσης είναι η ημερομηνία λήξης της προθεσμίας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01.01.2021,</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άνω των 18 ετών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2021-2022: α) οι επιλεγέντες δικαιούχοι - ωφελούμενοι στο πλαίσιο του προγράμματος Κοινωνικού Τουρισμού περιόδου 2020-2021,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α. Το πρόγραμμα διαρκεί 12 μήνες, με δυνατότητα παράτασης έως 3 επιπλέον μήνες με απόφαση του Διοικητή του ΟΑΕΔ, εφόσον ο διαθέσιμος προϋπολογισμός δεν έχει εξαντληθεί. β. Το πρόγραμμα θα υλοποιηθεί από την 01.08.2021 έως την 31.07.2022. Οι ημερομηνίες υλοποίησης του προγράμματος είναι δυνατόν να τροποποιηθούν με απόφαση του Διοικητή.</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έξι (6) διανυκτερεύσεις εντός του χρονικού διαστήματος της προηγούμενης παρ. για όλες τις περιοχές της Ελλάδας, πλην των νήσων Λέσβου, Χίου, Σάμου, Λέρου και Κω και του Νομού Έβρου, όπου είναι δυνατόν να πραγματοποιηθούν έως δέκα (10)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 ΥΨΟΣ ΕΠΙΔΟΤΗΣΗΣ</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στην πρώτη περίπτωση η ανταλλαγή της με υπηρεσίες διαμονής και στη δεύτερη περίπτωση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p>
    <w:p>
      <w:pPr>
        <w:spacing w:before="240" w:after="240"/>
        <w:rPr>
          <w:lang w:val="el" w:eastAsia="el"/>
        </w:rPr>
      </w:pPr>
      <w:r>
        <w:rPr>
          <w:lang w:val="el" w:eastAsia="el"/>
        </w:rPr>
        <w:t>ΤΙΜΕΣ ΕΠΙΔΟΤΗΣΗΣ ΓΙΑ ΤΑ ΤΟΥΡΙΣΤΙΚΑ ΚΑΤΑΛΥΜΑΤΑ ΟΛΩΝ ΤΩΝ ΠΕΡΙΟΧΩΝ ΠΛΗΝ ΤΩΝ ΝΗΣΩΝ ΛΕΣΒΟΥ, ΧΙΟΥ, ΣΑΜΟΥ, ΛΕΡΟΥ, ΚΩ ΚΑΙ ΤΟΥ ΝΟΜΟΥ ΕΒΡΟΥ |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6"/>
        <w:gridCol w:w="2101"/>
        <w:gridCol w:w="1918"/>
        <w:gridCol w:w="1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ΟΑΕΔ ΓΙΑ ΤΑ ΤΟΥΡΙΣΤΙΚΑ ΚΑΤΑΛΥΜΑΤΑ ΤΩΝ ΝΗΣΩΝ ΛΕΣΒΟΥ, ΧΙΟΥ, ΣΑΜΟΥ, ΛΕΡΟΥ, ΚΩ ΚΑΙ ΤΟΥ ΝΟΜΟΥ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ΔΩΜΑΤΙΑ - ΕΕΔΔ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bl>
    <w:p>
      <w:pPr>
        <w:spacing w:before="240" w:after="240"/>
        <w:rPr>
          <w:lang w:val="el" w:eastAsia="el"/>
        </w:rPr>
      </w:pPr>
      <w:r>
        <w:rPr>
          <w:lang w:val="el" w:eastAsia="el"/>
        </w:rPr>
        <w:t>«Οι τιμές επιδότησης των ως άνω πινάκων προσαυξάνονται κατά 20% για τις διανυκτερεύσεις που θα πραγματοποιηθούν εντός του Αυγούστου 2021».</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w:t>
      </w:r>
    </w:p>
    <w:p>
      <w:pPr>
        <w:pStyle w:val="StructureList1"/>
        <w:spacing w:before="120" w:after="0"/>
        <w:rPr>
          <w:lang w:val="el" w:eastAsia="el"/>
        </w:rPr>
      </w:pPr>
      <w:r>
        <w:rPr>
          <w:lang w:val="el" w:eastAsia="el"/>
        </w:rPr>
        <w:t>i)</w:t>
      </w:r>
      <w:r>
        <w:rPr>
          <w:lang w:val="en" w:eastAsia="en"/>
        </w:rPr>
        <w:tab/>
      </w:r>
      <w:r>
        <w:rPr>
          <w:lang w:val="el" w:eastAsia="el"/>
        </w:rPr>
        <w:t>για τους ενήλικες και παιδιά ηλικίας εντασσομένης κατά την τιμολογιακή πολιτική του παρόχου στην κατηγορία των ενηλίκων, στο 1/3 της προβλεπόμενης τιμής οικονομικής θέσης κατά την τρέχουσα δρομολογιακή περίοδο, ii) για τους πολυτέκνους και παιδιά ηλικίας για την οποία παρέχεται κατά την τιμολογιακή πολιτική του παρόχου έκπτωση 50%, στο 1/2 της προβλεπόμενης μετά την έκπτωση τιμής οικονομικής θέσης κατά την τρέχουσα δρομολογιακή περίοδο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1/2 της προβλεπόμενης για την κατηγορία ΑμεΑ τιμής οικονομικής θέσης κατά την τρέχουσα δρομολογιακή περίοδο.</w:t>
      </w:r>
    </w:p>
    <w:p>
      <w:pPr>
        <w:pStyle w:val="StructureList1"/>
        <w:spacing w:before="120" w:after="0"/>
        <w:rPr>
          <w:lang w:val="el" w:eastAsia="el"/>
        </w:rPr>
      </w:pPr>
      <w:r>
        <w:rPr>
          <w:lang w:val="el" w:eastAsia="el"/>
        </w:rPr>
        <w:t>β)</w:t>
      </w:r>
      <w:r>
        <w:rPr>
          <w:lang w:val="en" w:eastAsia="en"/>
        </w:rPr>
        <w:tab/>
      </w:r>
      <w:r>
        <w:rPr>
          <w:lang w:val="el" w:eastAsia="el"/>
        </w:rPr>
        <w:t>Το ύψος της ιδιωτικής συμμετοχής των δικαιούχων - ωφελουμένων ισούται κατά τις ως άνω περιπτώσεις (i) και (ii) με το ύψος της επιδότησης. Στην περίπτωση (iii) η συμμετοχή του δικαιούχου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και των ωφελουμένων στο Μητρώο των παρ. 7 και 12 του άρθρου 8 της παρούσας,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του Οργανισμού, σύμφωνα με τις ανάγκες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 ΜΗΤΡΩΩΝ ΔΙΚΑΙΟΥΧΩΝ -</w:t>
      </w:r>
    </w:p>
    <w:p>
      <w:pPr>
        <w:spacing w:before="240" w:after="240"/>
        <w:rPr>
          <w:lang w:val="el" w:eastAsia="el"/>
        </w:rPr>
      </w:pPr>
      <w:r>
        <w:rPr>
          <w:lang w:val="el" w:eastAsia="el"/>
        </w:rPr>
        <w:t>ΩΦΕΛΟΥΜΕΝΩΝ ΚΑΙ ΠΑΡΟΧΩΝ</w:t>
      </w:r>
    </w:p>
    <w:p>
      <w:pPr>
        <w:spacing w:before="240" w:after="240"/>
        <w:rPr>
          <w:lang w:val="el" w:eastAsia="el"/>
        </w:rPr>
      </w:pPr>
      <w:r>
        <w:rPr>
          <w:lang w:val="el" w:eastAsia="el"/>
        </w:rPr>
        <w:t>Με Δημόσια Πρόσκληση του Διοικητή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τηρουμένων των διατάξεων των παρ. 9 και 10 του άρθρου 34 του ν. 4144/2013: η προθεσμία και οι λεπτομέρειες της διαδικασία υποβολής των ηλεκτρονικών αιτήσεων και των απαιτουμένων δικαιολογητικών, της διαδικασίας κατάρτισης των Μητρώων Δικαιούχων-Ωφελουμένων και Παρόχων, τα ανώτατα όρια ιδιωτικής συμμετοχής, όπου αυτά προβλέπονται,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στο πρόγραμμα.</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όπως ορίζεται στη Δημόσια Πρόσκληση.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ημέρες εργασίας της παρ. 1 του άρθρου 2 της παρούσας δεν δύναται να αναζητηθούν αυτεπαγγέλτως λόγω μη ένταξής τους στο μηχανογραφικό σύστημα του eΕΦΚΑ για οποιονδήποτε λόγο, υποχρεούνται είτε να επισυνάψουν στην αίτησή τους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w:t>
      </w:r>
    </w:p>
    <w:p>
      <w:pPr>
        <w:spacing w:before="240" w:after="240"/>
        <w:rPr>
          <w:lang w:val="el" w:eastAsia="el"/>
        </w:rPr>
      </w:pPr>
      <w:r>
        <w:rPr>
          <w:lang w:val="el" w:eastAsia="el"/>
        </w:rPr>
        <w:t>ΤΩΝ ΔΙΚΑΙΟΥΧΩΝ- ΚΑΤΑΡΤΙΣΗ ΜΗΤΡΩΟΥ</w:t>
      </w:r>
    </w:p>
    <w:p>
      <w:pPr>
        <w:spacing w:before="240" w:after="240"/>
        <w:rPr>
          <w:lang w:val="el" w:eastAsia="el"/>
        </w:rPr>
      </w:pPr>
      <w:r>
        <w:rPr>
          <w:lang w:val="el" w:eastAsia="el"/>
        </w:rPr>
        <w:t>ΔΙΚΑΙΟΥΧΩΝ/ΩΦΕΛΟΥΜΕΝΩΝ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5 του άρθρου 2 της παρούσας.</w:t>
      </w:r>
    </w:p>
    <w:p>
      <w:pPr>
        <w:pStyle w:val="MainText"/>
        <w:spacing w:before="120" w:after="0"/>
        <w:rPr>
          <w:lang w:val="el" w:eastAsia="el"/>
        </w:rPr>
      </w:pPr>
      <w:r>
        <w:rPr>
          <w:b/>
          <w:bCs/>
          <w:lang w:val="el" w:eastAsia="el"/>
        </w:rPr>
        <w:t>2.</w:t>
      </w:r>
      <w:r>
        <w:rPr>
          <w:lang w:val="el" w:eastAsia="el"/>
        </w:rPr>
        <w:t xml:space="preserve"> Κριτήρια μοριοδότησης αποτελούν το πραγματικό δηλωθέν εισόδημα, ατομικό ή οικογενειακό κατά περίπτωση - είτε φορολογείται με τις γενικές διατάξεις είτε είναι απαλλασσόμενο του φόρου είτε φορολογείται αυτοτελώς-φορολογικού έτους 2019 και ο αριθμός ανηλίκων τέκνων.</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pStyle w:val="MainText"/>
        <w:spacing w:before="120" w:after="0"/>
        <w:rPr>
          <w:lang w:val="el" w:eastAsia="el"/>
        </w:rPr>
      </w:pPr>
      <w:r>
        <w:rPr>
          <w:b/>
          <w:bCs/>
          <w:lang w:val="el" w:eastAsia="el"/>
        </w:rPr>
        <w:t>1.</w:t>
      </w:r>
      <w:r>
        <w:rPr>
          <w:lang w:val="el" w:eastAsia="el"/>
        </w:rPr>
        <w:t xml:space="preserve"> Για δηλωθέν εισόδημα ύψους έως 10.000,99: 30 μόρια,</w:t>
      </w:r>
    </w:p>
    <w:p>
      <w:pPr>
        <w:pStyle w:val="MainText"/>
        <w:spacing w:before="120" w:after="0"/>
        <w:rPr>
          <w:lang w:val="el" w:eastAsia="el"/>
        </w:rPr>
      </w:pPr>
      <w:r>
        <w:rPr>
          <w:b/>
          <w:bCs/>
          <w:lang w:val="el" w:eastAsia="el"/>
        </w:rPr>
        <w:t>2.</w:t>
      </w:r>
      <w:r>
        <w:rPr>
          <w:lang w:val="el" w:eastAsia="el"/>
        </w:rPr>
        <w:t xml:space="preserve"> για δηλωθέν εισόδημα ύψους από 10.001,00 έως 20.000,99: 20 μόρια,</w:t>
      </w:r>
    </w:p>
    <w:p>
      <w:pPr>
        <w:pStyle w:val="MainText"/>
        <w:spacing w:before="120" w:after="0"/>
        <w:rPr>
          <w:lang w:val="el" w:eastAsia="el"/>
        </w:rPr>
      </w:pPr>
      <w:r>
        <w:rPr>
          <w:b/>
          <w:bCs/>
          <w:lang w:val="el" w:eastAsia="el"/>
        </w:rPr>
        <w:t>3.</w:t>
      </w:r>
      <w:r>
        <w:rPr>
          <w:lang w:val="el" w:eastAsia="el"/>
        </w:rPr>
        <w:t xml:space="preserve"> για δηλωθέν εισόδημα ύψους έως 20.001,00 έως 30.000,99 €: 10 μόρια,</w:t>
      </w:r>
    </w:p>
    <w:p>
      <w:pPr>
        <w:pStyle w:val="MainText"/>
        <w:spacing w:before="120" w:after="0"/>
        <w:rPr>
          <w:lang w:val="el" w:eastAsia="el"/>
        </w:rPr>
      </w:pPr>
      <w:r>
        <w:rPr>
          <w:b/>
          <w:bCs/>
          <w:lang w:val="el" w:eastAsia="el"/>
        </w:rPr>
        <w:t>4.</w:t>
      </w:r>
      <w:r>
        <w:rPr>
          <w:lang w:val="el" w:eastAsia="el"/>
        </w:rPr>
        <w:t xml:space="preserve"> για δηλωθέν εισόδημα ύψους 30.001,00 και άνω: 0 μόρια.</w:t>
      </w:r>
    </w:p>
    <w:p>
      <w:pPr>
        <w:spacing w:before="240" w:after="240"/>
        <w:rPr>
          <w:lang w:val="el" w:eastAsia="el"/>
        </w:rPr>
      </w:pPr>
      <w:r>
        <w:rPr>
          <w:lang w:val="el" w:eastAsia="el"/>
        </w:rPr>
        <w:t>Για το β’ κριτήριο: από 15 μόρια για κάθε ανήλικο τέκνο.</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Οι πληροφορίες σχετικά με τα ανήλικα τέκνα αναζητούνται αυτεπαγγέλτως από αρμόδιο δημόσιο φορέα ή,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άρθρου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του β’ κριτηρίου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6.</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αριθμού που προβλέπεται από την παρ. 3 του άρθρου 3 της παρούσας.</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Αίτησης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ή που εντάσσονται στις περιπτώσεις των μη δικαιούχων της παρ. 5 του άρθρου 2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 - 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10.</w:t>
      </w:r>
      <w:r>
        <w:rPr>
          <w:lang w:val="el" w:eastAsia="el"/>
        </w:rPr>
        <w:t xml:space="preserve"> Το προσωρινό Μητρώο Δικαιούχων - Ωφελουμένων και οι προσωρινοί Πίνακες Αποκλειομένων των παρ. 8 και 9 αναρτώνται στην διαδικτυακή πύλη του ΟΑΕΔ (</w:t>
      </w:r>
      <w:hyperlink r:id="rId5"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 Ωφελουμένων και του προσωρινού Πίνακα Αποκλειομένων εντός της αποκλειστικής προθεσμίας τριών (3) ημερών από την επομένη ημέρα της δημοσιεύσεώς τους στη διαδικτυακή πύλη του ΟΑΕΔ, όπως ορίζεται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του Οργανισμού, καταρτίζεται: α) το Οριστικό Μητρώο Δικαιούχων - Ωφελουμένων, στο οποίο αναγράφονται πλέον των λοιπών στοιχείων του προσωρινού μητρώου της παρ. 7 του παρόντος και οι μοναδικοί ηλεκτρονικοί κωδικοί αριθμοί των Επιταγών Κοινωνικού Τουρισμού και β) οι οριστικοί Πίνακες Αποκλειομένων. Το οριστικό Μητρώο Δικαιούχων - Ωφελουμένων και οι οριστικοί Πίνακες Αποκλειομένων αναρτώνται στη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 Ωφελουμένων και οι προσωρινοί και οριστικοί Πίνακες Αποκλειομένων καταρτίζονται από τον Διοικητή του ΟΑΕΔ.</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w:t>
      </w:r>
    </w:p>
    <w:p>
      <w:pPr>
        <w:spacing w:before="240" w:after="240"/>
        <w:rPr>
          <w:lang w:val="el" w:eastAsia="el"/>
        </w:rPr>
      </w:pPr>
      <w:r>
        <w:rPr>
          <w:lang w:val="el" w:eastAsia="el"/>
        </w:rPr>
        <w:t>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άρθρου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Κοινωνικού Τουρισμού περιόδου 2020-2021 υποβάλλουν ηλεκτρονική αίτηση ανανέωσης της συμμετοχής τους στο πρόγραμμα, στην οποία επισυνάπτουν μόνο τα δικαιολογητικά που έχουν τροποποιηθεί ή αντικατασταθεί.</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συντάσσονται δύο προσωρινά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άρθρου 5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Τα προσωρινά Μητρώα Παρόχων και οι προσωρινοί Πίνακες Αποκλειομένων Παρόχων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ημερών από την επομένη ημέρα της δημοσιεύσεώς τους,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p>
    <w:p>
      <w:pPr>
        <w:pStyle w:val="MainText"/>
        <w:spacing w:before="120" w:after="0"/>
        <w:rPr>
          <w:lang w:val="el" w:eastAsia="el"/>
        </w:rPr>
      </w:pPr>
      <w:r>
        <w:rPr>
          <w:b/>
          <w:bCs/>
          <w:lang w:val="el" w:eastAsia="el"/>
        </w:rPr>
        <w:t>5.</w:t>
      </w:r>
      <w:r>
        <w:rPr>
          <w:lang w:val="el" w:eastAsia="el"/>
        </w:rPr>
        <w:t xml:space="preserve"> Τα οριστικά Μητρώα Παρόχων Τουριστικών Καταλυμάτων και Ακτοπλοϊκών Εισιτηρίων και οι οριστικοί Πίνακες Αποκλειομένων Παρόχων αναρτώνται στη διαδικτυακή πύλη του ΟΑΕΔ (</w:t>
      </w:r>
      <w:hyperlink r:id="rId8"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Τα προσωρινά και οριστικά Μητρώα Παρόχων και οι προσωρινοί και οριστικοί Πίνακες Αποκλειoμένων Παρόχων καταρτίζονται από τον Διοικητή του ΟΑΕΔ ή από το αρμόδιο όργανο που ορίζεται με απόφασή του.</w:t>
      </w:r>
    </w:p>
    <w:p>
      <w:pPr>
        <w:pStyle w:val="MainText"/>
        <w:spacing w:before="120" w:after="0"/>
        <w:rPr>
          <w:lang w:val="el" w:eastAsia="el"/>
        </w:rPr>
      </w:pPr>
      <w:r>
        <w:rPr>
          <w:b/>
          <w:bCs/>
          <w:lang w:val="el" w:eastAsia="el"/>
        </w:rPr>
        <w:t>7.</w:t>
      </w:r>
      <w:r>
        <w:rPr>
          <w:lang w:val="el" w:eastAsia="el"/>
        </w:rPr>
        <w:t xml:space="preserve"> Η διαδικασία κατάρτισης των Μητρώων Παρόχων των παρ. 1 έως 6 του παρόντος ή ένταξης σε αυτά είναι δυνατόν να τροποποιηθεί με Δημόσια Πρόσκληση σύμφωνα με τα οριζόμενα στις παρ. 1 και 4 του άρθρου 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spacing w:before="240" w:after="240"/>
        <w:rPr>
          <w:lang w:val="el" w:eastAsia="el"/>
        </w:rPr>
      </w:pPr>
      <w:r>
        <w:rPr>
          <w:lang w:val="el" w:eastAsia="el"/>
        </w:rPr>
        <w:t>ΣΥΜΒΑΣΗ ΔΙΚΑΙΟΥΧΩΝ - ΠΑΡΟΧΩΝ, ΟΙΚΟΝΟΜΙΚΗ ΣΥΜΜΕΤΟΧΗ ΤΩΝ ΔΙΚΑΙΟΥΧΩΝ - 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α. Οι δικαιούχοι και οι πάροχοι τουριστικών καταλυμάτων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β. Η σύναψη σύμβασης μεταξύ δικαιούχου και παρόχου τουριστικού καταλύματος γεννά την αξίωση του δεύτερου να εισπράξει από τον ΟΑΕΔ ποσό αντίστοιχο με την οικονομική αξία της Επιταγής Κοινωνικού Τουρισμού -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Για τη διαμονή στα καταλύματα καταβάλλεται από τους δικαιούχους και ιδιωτική οικονομική συμμετοχή, το ύψος της οποίας καθορίζεται στη σύμβαση της περίπτωσης α και δεν είναι δυνατόν να υπερβαίνει συγκεκριμένα ανώτατα όρια, τα οποία προσδιορίζονται στη Δημόσια Πρόσκληση. Για τους δικαιούχους - ωφελούμενους που επιλέγουν για τη διαμονή τους τουριστικά καταλύματα των νήσων Λέσβου, Χίου, Σάμου, Λέρου, Κω και του νομού Έβρου η ιδιωτική συμμετοχή είναι υποχρεωτικά μηδενική.</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3.</w:t>
      </w:r>
      <w:r>
        <w:rPr>
          <w:lang w:val="el" w:eastAsia="el"/>
        </w:rPr>
        <w:t xml:space="preserve"> α. Μετά την ένταξη των Παρόχων Ακτοπλοϊκών Εισιτηρίων στο οριστικό Μητρώο, η υποβληθείσα αίτησή τους επέχει θέση σύμβασης με τον Οργανισμό,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ΟΑΕΔ, γεννά την αξίωση του πρώτου να εισπράξει ποσό αντίστοιχο με την οικονομική αξία της Επιταγής.</w:t>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σύμφωνα με τα αναφερόμενα στην παρ. 3.β του άρθρου 4 της παρούσας. Στην περίπτωση ατόμων με αναπηρία σε ποσοστό 50% και άνω η ιδιωτική συμμετοχή είναι υποχρεωτικά μηδενική.</w:t>
      </w:r>
    </w:p>
    <w:p>
      <w:pPr>
        <w:pStyle w:val="MainText"/>
        <w:spacing w:before="120" w:after="0"/>
        <w:rPr>
          <w:lang w:val="el" w:eastAsia="el"/>
        </w:rPr>
      </w:pPr>
      <w:r>
        <w:rPr>
          <w:b/>
          <w:bCs/>
          <w:lang w:val="el" w:eastAsia="el"/>
        </w:rPr>
        <w:t>4.</w:t>
      </w:r>
      <w:r>
        <w:rPr>
          <w:lang w:val="el" w:eastAsia="el"/>
        </w:rPr>
        <w:t xml:space="preserve"> Η ανταλλαγή της Επιταγής Κοινωνικού Τουρισμού-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15 της παρούσας.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α) από τους Παρόχους Τουριστικών Καταλυμάτων από την πρώτη του μηνός που έπεται του μήνα λήξης των συμβάσεων της παρ. 2 του άρθρου 11 της παρούσας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ΠΑΡΑΒΑΣΗ ΤΩΝ ΟΡΩΝ ΤΗΣ ΠΡΟΣΚΛΗΣΗΣ - ΚΥΡΩΣΕΙΣ</w:t>
      </w:r>
    </w:p>
    <w:p>
      <w:pPr>
        <w:pStyle w:val="MainText"/>
        <w:spacing w:before="120" w:after="0"/>
        <w:rPr>
          <w:lang w:val="el" w:eastAsia="el"/>
        </w:rPr>
      </w:pPr>
      <w:r>
        <w:rPr>
          <w:b/>
          <w:bCs/>
          <w:lang w:val="el" w:eastAsia="el"/>
        </w:rPr>
        <w:t>1.</w:t>
      </w:r>
      <w:r>
        <w:rPr>
          <w:lang w:val="el" w:eastAsia="el"/>
        </w:rPr>
        <w:t xml:space="preserve"> 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4 του άρθρου 11 της παρούσας, ο δικαιούχος οφείλει να επιστρέψει στον ΟΑΕΔ το ποσό της επιδότησης που καταβάλλεται στον Πάροχο Ακτοπλοϊκών Εισιτηρίων, με απόφαση του Δ.Σ. του Οργανισμού μετά από γνώμη της Επιτροπής Ε.Λ.Ε.Κ.Π.</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Ιουνίου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