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Ω0ΤΙ46ΜΠ3Ζ-ΙΙΦ</w:t>
      </w:r>
    </w:p>
    <w:p>
      <w:pPr>
        <w:pStyle w:val="Title"/>
        <w:spacing w:before="120" w:after="360"/>
        <w:rPr>
          <w:lang w:val="el" w:eastAsia="el"/>
        </w:rPr>
      </w:pPr>
      <w:r>
        <w:rPr>
          <w:b/>
          <w:bCs/>
          <w:lang w:val="el" w:eastAsia="el"/>
        </w:rPr>
        <w:t>Αριθ. ΦΕΚ: B’ 2061/19.5.2021</w:t>
      </w:r>
    </w:p>
    <w:p>
      <w:pPr>
        <w:pStyle w:val="Title"/>
        <w:spacing w:before="120" w:after="360"/>
        <w:rPr>
          <w:lang w:val="el" w:eastAsia="el"/>
        </w:rPr>
      </w:pPr>
      <w:r>
        <w:rPr>
          <w:b/>
          <w:bCs/>
          <w:lang w:val="el" w:eastAsia="el"/>
        </w:rPr>
        <w:t>Αθήνα, 11.5.2021</w:t>
      </w:r>
    </w:p>
    <w:p>
      <w:pPr>
        <w:pStyle w:val="Title"/>
        <w:spacing w:before="120" w:after="360"/>
        <w:rPr>
          <w:lang w:val="el" w:eastAsia="el"/>
        </w:rPr>
      </w:pPr>
      <w:r>
        <w:rPr>
          <w:b/>
          <w:bCs/>
          <w:lang w:val="el" w:eastAsia="el"/>
        </w:rPr>
        <w:t>Α. 1107</w:t>
      </w:r>
    </w:p>
    <w:p>
      <w:pPr>
        <w:pStyle w:val="PreambelText"/>
        <w:spacing w:before="240" w:after="240"/>
        <w:rPr>
          <w:lang w:val="el" w:eastAsia="el"/>
        </w:rPr>
      </w:pPr>
      <w:r>
        <w:rPr>
          <w:lang w:val="el" w:eastAsia="el"/>
        </w:rPr>
        <w:t>Ταχ. Δ/νση</w:t>
      </w:r>
    </w:p>
    <w:p>
      <w:pPr>
        <w:pStyle w:val="PreambelText"/>
        <w:spacing w:before="240" w:after="240"/>
        <w:rPr>
          <w:lang w:val="el" w:eastAsia="el"/>
        </w:rPr>
      </w:pPr>
      <w:r>
        <w:rPr>
          <w:lang w:val="el" w:eastAsia="el"/>
        </w:rPr>
        <w:t>Ταχ. Κώδικας</w:t>
      </w:r>
    </w:p>
    <w:p>
      <w:pPr>
        <w:pStyle w:val="PreambelText"/>
        <w:spacing w:before="240" w:after="240"/>
        <w:rPr>
          <w:lang w:val="el" w:eastAsia="el"/>
        </w:rPr>
      </w:pPr>
      <w:r>
        <w:rPr>
          <w:lang w:val="el" w:eastAsia="el"/>
        </w:rPr>
        <w:t>Τηλέφωνο</w:t>
      </w:r>
    </w:p>
    <w:p>
      <w:pPr>
        <w:pStyle w:val="PreambelText"/>
        <w:spacing w:before="240" w:after="240"/>
        <w:rPr>
          <w:lang w:val="el" w:eastAsia="el"/>
        </w:rPr>
      </w:pPr>
      <w:r>
        <w:rPr>
          <w:lang w:val="el" w:eastAsia="el"/>
        </w:rPr>
        <w:t>Τηλ/πία</w:t>
      </w:r>
    </w:p>
    <w:p>
      <w:pPr>
        <w:pStyle w:val="PreambelText"/>
        <w:spacing w:before="240" w:after="240"/>
        <w:rPr>
          <w:lang w:val="el" w:eastAsia="el"/>
        </w:rPr>
      </w:pPr>
      <w:r>
        <w:rPr>
          <w:lang w:val="el" w:eastAsia="el"/>
        </w:rPr>
        <w:t>Ηλ. ταχ.</w:t>
      </w:r>
    </w:p>
    <w:p>
      <w:pPr>
        <w:pStyle w:val="PreambelText"/>
        <w:spacing w:before="240" w:after="240"/>
        <w:rPr>
          <w:lang w:val="el" w:eastAsia="el"/>
        </w:rPr>
      </w:pPr>
      <w:r>
        <w:rPr>
          <w:lang w:val="el" w:eastAsia="el"/>
        </w:rPr>
        <w:t>Ιστοσελίδα</w:t>
      </w:r>
    </w:p>
    <w:p>
      <w:pPr>
        <w:pStyle w:val="PreambelText"/>
        <w:spacing w:before="240" w:after="240"/>
        <w:rPr>
          <w:lang w:val="el" w:eastAsia="el"/>
        </w:rPr>
      </w:pPr>
      <w:r>
        <w:rPr>
          <w:lang w:val="el" w:eastAsia="el"/>
        </w:rPr>
        <w:t xml:space="preserve">Καρ. Σερβίας 8 101 84 Αθήνα 210 - 3375868 210 - 3375854 </w:t>
      </w:r>
      <w:hyperlink r:id="rId4" w:history="1">
        <w:r>
          <w:rPr>
            <w:rStyle w:val="Hyperlink"/>
            <w:color w:val="0000EE"/>
            <w:u w:color="0000EE"/>
            <w:lang w:val="el" w:eastAsia="el"/>
          </w:rPr>
          <w:t>dos@aade.gr</w:t>
        </w:r>
      </w:hyperlink>
      <w:hyperlink r:id="rId5" w:history="1">
        <w:r>
          <w:rPr>
            <w:rStyle w:val="Hyperlink"/>
            <w:color w:val="0000EE"/>
            <w:u w:color="0000EE"/>
            <w:lang w:val="el" w:eastAsia="el"/>
          </w:rPr>
          <w:t>dos.c@aade.gr</w:t>
        </w:r>
      </w:hyperlink>
      <w:hyperlink r:id="rId6"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Θέμα: Τροποποίηση της υπό στοιχεία ΠΟΛ. 1137/12.9.2017 (Β’ 3293) απόφασης του Διοικητή της ΑΑΔΕ για τον καθορισμό των καταλόγων σχετικά με τις Δηλωτέες Δικαιοδοσίες, δυνάμει του άρθρου πέμπτου παρ. 4 τρίτο εδάφιο του ν.4428/2016 (Α’ 190) και με τις Συμμετέχουσες Δικαιοδοσίες, δυνάμει του ίδιου άρθρου και του άρθρου 9 παρ. 5 περίπτ. β’ τρίτο εδάφιο του ν.4170/2013 (Α’ 163), έναντι της Ελλάδας, όπως έχει τροποποιηθεί με τις υπό στοιχεία ΠΟΛ. 1084/10.5.2018 (Β’ 1690), Α. 1208/24.5.2019 (Β’ 1995) και Α. 1181/24.7.2020 (Β’ 3271) όμοιες αποφάσεις και ισχύει.</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9, παρ. 5 περίπτ. β’, τρίτο εδάφιο του ν.4170/2013 (Α΄163) «Ενσωμάτωση της Οδηγίας 2011/16/ΕΕ, ρύθμιση θεμάτων της ΕΛ.Τ.Ε., αναμόρφωση Οργανισμού του Ν.Σ.Κ. και άλλες διατάξεις», όπως τροποποιήθηκε, συμπληρώθηκε και ισχύει, και ιδίως αναφορικά με την έκδοση απόφασης του Διοικητή της Ανεξάρτητης Αρχής Δημοσίων Εσόδων (ΑΑΔΕ), σχετικά με την έκδοση καταλόγου Συμμετεχουσών Δικαιοδοσιών έναντι της Ελλάδας, σύμφωνα με το Κεφάλαιο Η’, Παράρτημα Ι, Τμήμα VIII Ενότητα Δ’ παρ. 4 του ίδιου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πέμπτου, παρ. 4, τρίτο εδάφιο του ν.4428/2016 (Α’ 190) «Κύρωση της Πολυμερούς Συμφωνίας Αρμόδιων Αρχών για την Αυτόματη Ανταλλαγή Πληροφοριών Χρηματοοικονομικών Λογαριασμών και διατάξεις εφαρμογής» αναφορικά με την έκδοση απόφασης του Διοικητή της ΑΑΔΕ, σχετικά με την έκδοση καταλόγου Δηλωτέων και Συμμετεχουσών Δικαιοδοσιών έναντι της Ελλάδας, σύμφωνα με το άρθρο τρίτο, παρ. 1, Παράρτημα Ι, Τμήμα VIII Ενότητα Δ’ παρ. 4 και 5, σε συνδυασμό με τη διάταξη του άρθρου πρώτου του ίδιου νόμου και ιδίως το Τμήμα 1 περίπτ. η’, Τμήμα 3 παρ. 3 και το Τμήμα 7 παρ. 1 περίπτ. α’ και παρ. 2.1 της κυρωθείσας με το άρθρο αυτό Πολυμερούς Συμφωνίας Αρμόδιων Αρχών (ΠΣΑΑ).</w:t>
      </w:r>
    </w:p>
    <w:p>
      <w:pPr>
        <w:pStyle w:val="StructureList1"/>
        <w:spacing w:before="120" w:after="0"/>
        <w:rPr>
          <w:lang w:val="el" w:eastAsia="el"/>
        </w:rPr>
      </w:pPr>
      <w:r>
        <w:rPr>
          <w:b/>
          <w:bCs/>
          <w:lang w:val="el" w:eastAsia="el"/>
        </w:rPr>
        <w:t>γ)</w:t>
      </w:r>
      <w:r>
        <w:rPr>
          <w:b/>
          <w:bCs/>
          <w:lang w:val="en" w:eastAsia="en"/>
        </w:rPr>
        <w:tab/>
      </w:r>
      <w:r>
        <w:rPr>
          <w:b/>
          <w:bCs/>
          <w:lang w:val="el" w:eastAsia="el"/>
        </w:rPr>
        <w:t>Του Παραρτήματος Ι, Τμήμα Vlll, Ενότητα Δ' παρ. 5 περίπτ. β' των Συμφωνιών σχετικά με την αυτόματη ανταλλαγή πληροφοριών περί χρηματοοικονομικών λογαριασμών για τη βελτίωση της διεθνούς φορολογικής συμμόρφωσης μεταξύ της ΕΕ και του Αγίου Μαρίνου αφενός, και μεταξύ της ΕΕ και του Λιχτενστάιν αφετέρου, όπως τροποποιείται αντίστοιχα με την παρ. 3 του άρθρου 1 των κυρούμενων με το άρθρο πρώτο των ν.4515/2018 (Α' 18) και ν.4516/2008 (Α' 19), αντίστοιχα, Τροποποιητικών Πρωτοκόλλων, σύμφωνα με την οποία ως «Συμμετέχουσα Δικαιοδοσία» σε σχέση με την Ελλάδα νοείται ο Άγιος Μαρίνος και το Λιχτενστάιν, αντίστοιχα.</w:t>
      </w:r>
    </w:p>
    <w:p>
      <w:pPr>
        <w:pStyle w:val="StructureList1"/>
        <w:spacing w:before="120" w:after="0"/>
        <w:rPr>
          <w:lang w:val="el" w:eastAsia="el"/>
        </w:rPr>
      </w:pPr>
      <w:r>
        <w:rPr>
          <w:b/>
          <w:bCs/>
          <w:lang w:val="el" w:eastAsia="el"/>
        </w:rPr>
        <w:t>δ)</w:t>
      </w:r>
      <w:r>
        <w:rPr>
          <w:b/>
          <w:bCs/>
          <w:lang w:val="en" w:eastAsia="en"/>
        </w:rPr>
        <w:tab/>
      </w:r>
      <w:r>
        <w:rPr>
          <w:b/>
          <w:bCs/>
          <w:lang w:val="el" w:eastAsia="el"/>
        </w:rPr>
        <w:t>Του ν.3363/2005 (Α' 159), με τον οποίο κυρώθηκε η Συμφωνία μεταξύ της Ευρωπαϊκής Κοινότητας και της Ελβετικής Συνομοσπονδίας (ΕΕ L 385 της 29.12.2004) και το Τροποποιητικό Πρωτόκολλο αυτής (ΕΕ L 333 της 19.12.2015) και ιδίως του Παραρτήματος Ι, Τμήμα VIII, Ενότητα Δ' παρ. 5 περίπτ. β΄, όπως τροποποιείται με την παρ. 3 του άρθρου 1 αυτού, σύμφωνα με την οποία ως «Συμμετέχουσα Δικαιοδοσία» σε σχέση με την Ελλάδα νοείται η Ελβετική Συνομοσπονδία.</w:t>
      </w:r>
    </w:p>
    <w:p>
      <w:pPr>
        <w:pStyle w:val="StructureList1"/>
        <w:spacing w:before="120" w:after="0"/>
        <w:rPr>
          <w:lang w:val="el" w:eastAsia="el"/>
        </w:rPr>
      </w:pPr>
      <w:r>
        <w:rPr>
          <w:b/>
          <w:bCs/>
          <w:lang w:val="el" w:eastAsia="el"/>
        </w:rPr>
        <w:t>ε)</w:t>
      </w:r>
      <w:r>
        <w:rPr>
          <w:b/>
          <w:bCs/>
          <w:lang w:val="en" w:eastAsia="en"/>
        </w:rPr>
        <w:tab/>
      </w:r>
      <w:r>
        <w:rPr>
          <w:b/>
          <w:bCs/>
          <w:lang w:val="el" w:eastAsia="el"/>
        </w:rPr>
        <w:t>Του ν.3361/2005 (Α' 157), με τον οποίο κυρώθηκε η Συμφωνία μεταξύ της Ευρωπαϊκής Κοινότητας και του Πριγκιπάτου της Ανδόρας (ΕΕ L 359 της 4.12.2004) και το Τροποποιητικό Πρωτόκολλο αυτής (ΕΕ L 268 της 1.10.2016) και ιδίως του Παραρτήματος Ι, Τμήμα VIII, Ενότητα Δ παρ. 5 περίπτ. β΄, όπως τροποποιείται με την παρ. 3 του άρθρου 1 αυτού, σύμφωνα με την οποία ως «Συμμετέχουσα Δικαιοδοσία» σε σχέση με την Ελλάδα νοείται η Ανδόρα.</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ν.3364/2005 (Α' 160), με τον οποίο κυρώθηκε η Συμφωνία μεταξύ της Ευρωπαϊκής Κοινότητας και του Πριγκιπάτου του Μονακό (ΕΕ L 19 της 21.1.2005) και το Τροποποιητικό Πρωτόκολλο αυτής (ΕΕ L 225 της 19.8.2016), και ιδίως του Παραρτήματος Ι, Τμήμα VIII, Ενότητα Δ παρ. 5 περίπτ. β΄, όπως τροποποιείται με την παρ. 3 του άρθρου 1 αυτού, σύμφωνα με την οποία ως «Συμμετέχουσα Δικαιοδοσία» σε σχέση με την Ελλάδα νοείται το Μονακό.</w:t>
      </w:r>
    </w:p>
    <w:p>
      <w:pPr>
        <w:pStyle w:val="StructureList1"/>
        <w:spacing w:before="120" w:after="0"/>
        <w:rPr>
          <w:lang w:val="el" w:eastAsia="el"/>
        </w:rPr>
      </w:pPr>
      <w:r>
        <w:rPr>
          <w:b/>
          <w:bCs/>
          <w:lang w:val="el" w:eastAsia="el"/>
        </w:rPr>
        <w:t>ζ)</w:t>
      </w:r>
      <w:r>
        <w:rPr>
          <w:b/>
          <w:bCs/>
          <w:lang w:val="en" w:eastAsia="en"/>
        </w:rPr>
        <w:tab/>
      </w:r>
      <w:r>
        <w:rPr>
          <w:b/>
          <w:bCs/>
          <w:lang w:val="el" w:eastAsia="el"/>
        </w:rPr>
        <w:t>Της Συμφωνίας μεταξύ της Ευρωπαϊκής Ένωσης και της Γαλλικής Δημοκρατίας για την εφαρμογή, όσον αφορά την κοινότητα του Αγίου Βαρθολομαίου, της νομοθεσίας της Ένωσης σχετικά με τη φορολόγηση των αποταμιεύσεων και τη διοικητική συνεργασία στον τομέα της Φορολογίας (ΕΕ L 330 της 15.11.2014).</w:t>
      </w:r>
    </w:p>
    <w:p>
      <w:pPr>
        <w:pStyle w:val="StructureList1"/>
        <w:spacing w:before="120" w:after="0"/>
        <w:rPr>
          <w:lang w:val="el" w:eastAsia="el"/>
        </w:rPr>
      </w:pPr>
      <w:r>
        <w:rPr>
          <w:b/>
          <w:bCs/>
          <w:lang w:val="el" w:eastAsia="el"/>
        </w:rPr>
        <w:t>η)</w:t>
      </w:r>
      <w:r>
        <w:rPr>
          <w:b/>
          <w:bCs/>
          <w:lang w:val="en" w:eastAsia="en"/>
        </w:rPr>
        <w:tab/>
      </w:r>
      <w:r>
        <w:rPr>
          <w:b/>
          <w:bCs/>
          <w:lang w:val="el" w:eastAsia="el"/>
        </w:rPr>
        <w:t>Του άρθρου 28, παρ. 3 και 6 και του άρθρου 32 παρ. 1 της Σύμβασης του Συμβουλίου της Ευρώπης και του ΟΟΣΑ σχετικά με την αμοιβαία διοικητική συνδρομή σε φορολογικά θέματα (Σύμβαση), όπως τροποποιήθηκε με το από 2010 Πρωτόκολλο Τροποποίησής της και κυρώθηκε με τις διατάξεις του άρθρου πρώτου του ν.4153/2013 (Α' 116)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w:t>
      </w:r>
    </w:p>
    <w:p>
      <w:pPr>
        <w:pStyle w:val="StructureList1"/>
        <w:spacing w:before="120" w:after="0"/>
        <w:rPr>
          <w:lang w:val="el" w:eastAsia="el"/>
        </w:rPr>
      </w:pPr>
      <w:r>
        <w:rPr>
          <w:b/>
          <w:bCs/>
          <w:lang w:val="el" w:eastAsia="el"/>
        </w:rPr>
        <w:t>θ)</w:t>
      </w:r>
      <w:r>
        <w:rPr>
          <w:b/>
          <w:bCs/>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b/>
          <w:bCs/>
          <w:lang w:val="el" w:eastAsia="el"/>
        </w:rPr>
        <w:t>2. Την υπό στοιχεία ΠΟΛ. 1137/12.9.2017 (Β' 3293) απόφαση του Διοικητή της ΑΑΔΕ «Καθορισμός των καταλόγων σχετικά με τις Δηλωτέες Δικαιοδοσίες, δυνάμει του άρθρου πέμπτου παρ. 4 τρίτο εδάφιο του ν.4428/2016 (Α' 190) και με τις Συμμετέχουσες Δικαιοδοσίες, δυνάμει του ίδιου άρθρου και του άρθρου 9 παρ. 5 περίπτ. β' τρίτο εδάφιο του ν.4170/2013 (Α' 163), έναντι της Ελλάδας», όπως έχει τροποποιηθεί με τις υπό στοιχεία ΠΟΛ. 1084/10.5.2018 (Β’ 1690), Α. 1208/24.5.2019 (Β’ 1995) και Α. 1181/24.7.2020 (Β’ 3271) όμοιες αποφάσεις και ισχύει.</w:t>
      </w:r>
    </w:p>
    <w:p>
      <w:pPr>
        <w:pStyle w:val="PreambelText"/>
        <w:spacing w:before="240" w:after="240"/>
        <w:rPr>
          <w:lang w:val="el" w:eastAsia="el"/>
        </w:rPr>
      </w:pPr>
      <w:r>
        <w:rPr>
          <w:b/>
          <w:bCs/>
          <w:lang w:val="el" w:eastAsia="el"/>
        </w:rPr>
        <w:t>3. Την υπό στοιχεία ΠΟΛ. 1135/29.8.2017 (Β’ 3053) υπουργική απόφαση «Καθορισμός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του πρώτου εδαφίου της παρ. 2 του άρθρου πέμπτου του ν.4428/2016», όπως έχει αντικατασταθεί με τις υπό στοιχεία ΠΟΛ. 1078/27.4.2018 (Β' 1634), Α.1160/19.4.2019 (Β’ 1477) και Α. 1094/20.4.2021 (Β’ 1765) όμοιες αποφάσεις και ισχύει.</w:t>
      </w:r>
    </w:p>
    <w:p>
      <w:pPr>
        <w:pStyle w:val="PreambelText"/>
        <w:spacing w:before="240" w:after="240"/>
        <w:rPr>
          <w:lang w:val="el" w:eastAsia="el"/>
        </w:rPr>
      </w:pPr>
      <w:r>
        <w:rPr>
          <w:b/>
          <w:bCs/>
          <w:lang w:val="el" w:eastAsia="el"/>
        </w:rPr>
        <w:t>4. Τον από 9.12.2020 κατάλογο της Γραμματείας Συντονιστικού Οργάνου της Σύμβασης σχετικά με το καθεστώς των δικαιοδοσιών που έχουν υπογράψει τη Σύμβαση ως προς την ημερομηνία έναρξης ισχύος της.</w:t>
      </w:r>
    </w:p>
    <w:p>
      <w:pPr>
        <w:pStyle w:val="PreambelText"/>
        <w:spacing w:before="240" w:after="240"/>
        <w:rPr>
          <w:lang w:val="el" w:eastAsia="el"/>
        </w:rPr>
      </w:pPr>
      <w:r>
        <w:rPr>
          <w:b/>
          <w:bCs/>
          <w:lang w:val="el" w:eastAsia="el"/>
        </w:rPr>
        <w:t>5. Τον από 17.2.2021 κατάλογο του ΟΟΣΑ με τις δικαιοδοσίες που έχουν δεσμευθεί για την αυτόματη ανταλλαγή πληροφοριών βάσει του Κοινού Προτύπου Αναφοράς (ΚΠΑ) με αναφορά στη δέσμευσή τους ως προς το έτος πρώτης ανταλλαγής πληροφοριών και τον από 10.12.2020 κατάλογο του ΟΟΣΑ με τις δικαιοδοσίες που έχουν υπογράψει την ΠΣΑΑ</w:t>
      </w:r>
      <w:r>
        <w:rPr>
          <w:b/>
          <w:bCs/>
          <w:i/>
          <w:iCs/>
          <w:lang w:val="el" w:eastAsia="el"/>
        </w:rPr>
        <w:t>.</w:t>
      </w:r>
    </w:p>
    <w:p>
      <w:pPr>
        <w:pStyle w:val="PreambelText"/>
        <w:spacing w:before="240" w:after="240"/>
        <w:rPr>
          <w:lang w:val="el" w:eastAsia="el"/>
        </w:rPr>
      </w:pPr>
      <w:r>
        <w:rPr>
          <w:b/>
          <w:bCs/>
          <w:lang w:val="el" w:eastAsia="el"/>
        </w:rPr>
        <w:t>6. Τον τρέχοντα κατάλογο της Γραμματείας Συντονιστικού Οργάνου της Σύμβασης σχετικά με τις Αρμόδιες Αρχές που έχουν υπογράψει την ΠΣΑΑ και μεταξύ των οποίων αυτή η Συμφωνία είναι σε ισχύ και εφαρμογή (Παράρτημα Ε' της ΠΣΑΑ), όπως δημοσιεύθηκε και αναθεωρήθηκε στον ιστότοπο του ΟΟΣΑ, σύμφωνα με τις διατάξεις του Τμήματος 7 παρ. 2.2 της ίδιας Συμφωνίας, σε συνδυασμό με τις Γνωστοποιήσεις του Τμήματος 7 παρ. 1 των άλλων δικαιοδοσιών, όπως γνωστοποιήθηκαν από τον ΟΟΣΑ στην Αρμόδια Αρχή της Ελληνικής Δημοκρατίας μέχρι 7.5.2021.</w:t>
      </w:r>
    </w:p>
    <w:p>
      <w:pPr>
        <w:pStyle w:val="PreambelText"/>
        <w:spacing w:before="240" w:after="240"/>
        <w:rPr>
          <w:lang w:val="el" w:eastAsia="el"/>
        </w:rPr>
      </w:pPr>
      <w:r>
        <w:rPr>
          <w:b/>
          <w:bCs/>
          <w:lang w:val="el" w:eastAsia="el"/>
        </w:rPr>
        <w:t>7. Τις Γνωστοποιήσεις του Τμήματος 7 παρ. 1 περίπτ. β' της ΠΣΑΑ των δικαιοδοσιών, όπως έχουν υποβληθεί στη Γραμματεία Συντονιστικού Οργάνου της Σύμβασης και γνωστοποιηθεί στην Αρμόδια Αρχή της Ελληνικής Δημοκρατίας έως και 7.5.2021, σύμφωνα με τις οποίες οι εν λόγω δικαιοδοσίες δεν θα λαμβάνουν τις πληροφορίες του Τμήματος 2 παρ. 2 της ΠΣΑΑ.</w:t>
      </w:r>
    </w:p>
    <w:p>
      <w:pPr>
        <w:pStyle w:val="PreambelText"/>
        <w:spacing w:before="240" w:after="240"/>
        <w:rPr>
          <w:lang w:val="el" w:eastAsia="el"/>
        </w:rPr>
      </w:pPr>
      <w:r>
        <w:rPr>
          <w:b/>
          <w:bCs/>
          <w:lang w:val="el" w:eastAsia="el"/>
        </w:rPr>
        <w:t>8. Την από 8.3.2018 καταχώριση στον Θεματοφύλακα της Σύμβασης της Δήλωσης της Ελληνικής Δημοκρατίας «Δήλωση ως προς την Ημερομηνία Εφαρμογής για Ανταλλαγές Πληροφοριών βάσει της Πολυμερούς Συμφωνίας Αρμοδίων Αρχών για την Αυτόματη Ανταλλαγή Πληροφοριών Χρηματοοικονομικών Λογαριασμών», δυνάμει της παρ. 6 του άρθρου 28 της Σύμβασης, όπως κυρώθηκε με τις διατάξεις του άρθρου πρώτου του ν.4153/2013 (Α' 116), και τις αντίστοιχες Δηλώσεις άλλων Δικαιοδοσιών που δημοσιεύθηκαν στην ιστοσελίδα του Συμβουλίου της Ευρώπης έως και 22.3.2021.</w:t>
      </w:r>
    </w:p>
    <w:p>
      <w:pPr>
        <w:pStyle w:val="PreambelText"/>
        <w:spacing w:before="240" w:after="240"/>
        <w:rPr>
          <w:lang w:val="el" w:eastAsia="el"/>
        </w:rPr>
      </w:pPr>
      <w:r>
        <w:rPr>
          <w:b/>
          <w:bCs/>
          <w:lang w:val="el" w:eastAsia="el"/>
        </w:rPr>
        <w:t>9. Τα Σχόλια του ΟΟΣΑ επί του ΚΠΑ όπως εγκρίθηκαν από το Συμβούλιο του ΟΟΣΑ στις 15 Ιουλίου 2014 και ισχύουν.</w:t>
      </w:r>
    </w:p>
    <w:p>
      <w:pPr>
        <w:pStyle w:val="PreambelText"/>
        <w:spacing w:before="240" w:after="240"/>
        <w:rPr>
          <w:lang w:val="el" w:eastAsia="el"/>
        </w:rPr>
      </w:pPr>
      <w:r>
        <w:rPr>
          <w:b/>
          <w:bCs/>
          <w:lang w:val="el" w:eastAsia="el"/>
        </w:rPr>
        <w:t>10. 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 4738), όπως τροποποιήθηκε, συμπληρώθηκε και ισχύει.</w:t>
      </w:r>
    </w:p>
    <w:p>
      <w:pPr>
        <w:pStyle w:val="PreambelText"/>
        <w:spacing w:before="240" w:after="240"/>
        <w:rPr>
          <w:lang w:val="el" w:eastAsia="el"/>
        </w:rPr>
      </w:pPr>
      <w:r>
        <w:rPr>
          <w:b/>
          <w:bCs/>
          <w:lang w:val="el" w:eastAsia="el"/>
        </w:rPr>
        <w:t>11. Την αριθ. Δ6Α 1015213 ΕΞ 2013/28.1.2013 (Β' 130 και Β' 372) υπουργική απόφαση «Μεταβίβαση αρμοδιοτήτων στον Γενικό Γραμματέα της Γενικής Γραμματείας Δημοσίων Εσόδων του Υπουργείου Οικονομικών» και την αριθ. Δ6Α 1145867 ΕΞ 2013/25.9.2013 (Β' 2417) υπουργική απόφαση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ν.4389/2016.</w:t>
      </w:r>
    </w:p>
    <w:p>
      <w:pPr>
        <w:pStyle w:val="PreambelText"/>
        <w:spacing w:before="240" w:after="240"/>
        <w:rPr>
          <w:lang w:val="el" w:eastAsia="el"/>
        </w:rPr>
      </w:pPr>
      <w:r>
        <w:rPr>
          <w:b/>
          <w:bCs/>
          <w:lang w:val="el" w:eastAsia="el"/>
        </w:rPr>
        <w:t>12.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αριθ. 39/3/30.11.2017 (Υ.Ο.Δ.Δ. 689) του Συμβουλίου Διοίκησης της ΑΑΔΕ και αριθ. 5294 ΕΞ 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13. Την εισήγηση της Δ/νσης Διεθνών Οικονομικών Σχέσεων της ΑΑΔΕ ως αρμόδιας αρχής κατά το άρθρο 5 παρ. 1 του ν.4170/2013 και κατά το άρθρο δεύτερο παρ. 1 του ν.4428/2016.</w:t>
      </w:r>
    </w:p>
    <w:p>
      <w:pPr>
        <w:pStyle w:val="PreambelText"/>
        <w:spacing w:before="240" w:after="240"/>
        <w:rPr>
          <w:lang w:val="el" w:eastAsia="el"/>
        </w:rPr>
      </w:pPr>
      <w:r>
        <w:rPr>
          <w:b/>
          <w:bCs/>
          <w:lang w:val="el" w:eastAsia="el"/>
        </w:rPr>
        <w:t>14. Την ανάγκη τροποποίησης της αναφερόμενης στο σημείο 2 της παρούσας απόφασης του Διοικητή της ΑΑΔΕ, προκειμένου να ληφθούν υπόψη οι νέες Δηλωτέες Δικαιοδοσίες για το έτος 2021 αναφορικά με πληροφορίες του έτους 2020 και του έτους 2019, αναλόγως της περίπτωσης, να τροποποιηθεί ο κατάλογος Συμμετεχουσών Δικαιοδοσιών για το έτος 2020 και να προσδιοριστεί ο αντίστοιχος κατάλογος για το έτος 2021, για την ομαλή και απρόσκοπτη συνέχιση της εφαρμογής του πλαισίου της αυτόματης ανταλλαγής πληροφοριών χρηματοοικονομικών λογαριασμών.</w:t>
      </w:r>
    </w:p>
    <w:p>
      <w:pPr>
        <w:pStyle w:val="PreambelText"/>
        <w:spacing w:before="240" w:after="240"/>
        <w:rPr>
          <w:lang w:val="el" w:eastAsia="el"/>
        </w:rPr>
      </w:pPr>
      <w:r>
        <w:rPr>
          <w:b/>
          <w:bCs/>
          <w:lang w:val="el" w:eastAsia="el"/>
        </w:rPr>
        <w:t>15. Το γεγονός ότι από τις διατάξεις της παρούσας απόφασης δεν προκαλείται δαπάνη σε βάρος του προϋπολογισμού της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b/>
          <w:bCs/>
          <w:lang w:val="el" w:eastAsia="el"/>
        </w:rPr>
        <w:t xml:space="preserve"> Τροποποιούμε το άρθρο 1 της υπό στοιχεία ΠΟΛ. 1137/12.9.2017 (Β’ 3293) απόφασης του Διοικητή της ΑΑΔΕ, στο οποίο προστίθεται νέα παράγραφος 5, ως ακολούθως:</w:t>
      </w:r>
    </w:p>
    <w:p>
      <w:pPr>
        <w:spacing w:before="240" w:after="240"/>
        <w:rPr>
          <w:lang w:val="el" w:eastAsia="el"/>
        </w:rPr>
      </w:pPr>
      <w:r>
        <w:rPr>
          <w:b/>
          <w:bCs/>
          <w:lang w:val="el" w:eastAsia="el"/>
        </w:rPr>
        <w:t>«5. Για την αυτόματη ανταλλαγή πληροφοριών χρηματοοικονομικών λογαριασμών που διενεργείται κατά το έτος 2021, ως Δηλωτέες Δικαιοδοσίες έναντι της Ελλάδας, κατά την έννοια του ορισμού του άρθρου τρίτου, Παράρτημα Ι, Τμήμα VIII Ενότητα Δ’ παρ. 4 του ν.4428/2016, λογίζονται οι Δικαιοδοσίες των παρ. 1, 2, 3 και 4 αναφορικά με πληροφορίες του έτους 2020, με την προσθήκη των ακόλουθων Δικαιοδοσιών αναφορικά με πληροφορίες του έτους 2020 και του έτους 2019, αναλόγως της περίπτωσης: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1"/>
        <w:gridCol w:w="2397"/>
        <w:gridCol w:w="2354"/>
        <w:gridCol w:w="2069"/>
        <w:gridCol w:w="20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αναφορικά με πληροφορίες έτους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αναφορικά με πληροφορίες έτους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Costa 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Curaçao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Gibraltar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2599"/>
        <w:gridCol w:w="2282"/>
        <w:gridCol w:w="458"/>
        <w:gridCol w:w="4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Kingdom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bl>
    <w:p>
      <w:pPr>
        <w:spacing w:before="240" w:after="240"/>
        <w:rPr>
          <w:lang w:val="el" w:eastAsia="el"/>
        </w:rPr>
      </w:pPr>
      <w:r>
        <w:rPr>
          <w:b/>
          <w:bCs/>
          <w:lang w:val="el" w:eastAsia="el"/>
        </w:rPr>
        <w:t>2. Τροποποιούμε το άρθρο 2 της αριθ. ΠΟΛ. 1137/12.9.2017 (Β’ 3293) απόφασης του Διοικητή της ΑΑΔΕ, ως ακολούθως:</w:t>
      </w:r>
    </w:p>
    <w:p>
      <w:pPr>
        <w:spacing w:before="240" w:after="240"/>
        <w:rPr>
          <w:lang w:val="el" w:eastAsia="el"/>
        </w:rPr>
      </w:pPr>
      <w:r>
        <w:rPr>
          <w:b/>
          <w:bCs/>
          <w:lang w:val="el" w:eastAsia="el"/>
        </w:rPr>
        <w:t xml:space="preserve">α. </w:t>
      </w:r>
      <w:r>
        <w:rPr>
          <w:b/>
          <w:bCs/>
          <w:lang w:val="el" w:eastAsia="el"/>
        </w:rPr>
        <w:t>Το σημείο Ε’ του άρθρου 2 αντικαθίσταται ως εξής:</w:t>
      </w:r>
    </w:p>
    <w:p>
      <w:pPr>
        <w:spacing w:before="240" w:after="240"/>
        <w:rPr>
          <w:lang w:val="el" w:eastAsia="el"/>
        </w:rPr>
      </w:pPr>
      <w:r>
        <w:rPr>
          <w:b/>
          <w:bCs/>
          <w:lang w:val="el" w:eastAsia="el"/>
        </w:rPr>
        <w:t>«Ε. Για την εφαρμογή των κανόνων υποβολής στοιχείων και δέουσας επιμέλειας αναφορικά με το έτος 2020:</w:t>
      </w:r>
    </w:p>
    <w:p>
      <w:pPr>
        <w:spacing w:before="240" w:after="240"/>
        <w:rPr>
          <w:lang w:val="el" w:eastAsia="el"/>
        </w:rPr>
      </w:pPr>
      <w:r>
        <w:rPr>
          <w:b/>
          <w:bCs/>
          <w:lang w:val="el" w:eastAsia="el"/>
        </w:rPr>
        <w:t>Συμμετέχουσες Δικαιοδοσίες είναι όλες οι Δικαιοδοσίες που περιλαμβάνονται στους Πίνακες Α’, Β’, Γ’ και Δ’ του παρόντος άρθρου και προστίθεται η ακόλουθη Δικαιοδοσία:</w:t>
      </w:r>
    </w:p>
    <w:p>
      <w:pPr>
        <w:spacing w:before="240" w:after="240"/>
        <w:rPr>
          <w:lang w:val="el" w:eastAsia="el"/>
        </w:rPr>
      </w:pPr>
      <w:r>
        <w:rPr>
          <w:b/>
          <w:bCs/>
          <w:lang w:val="el" w:eastAsia="el"/>
        </w:rPr>
        <w:t>Πίνακας 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8"/>
        <w:gridCol w:w="4450"/>
        <w:gridCol w:w="43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αγγλική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Peru</w:t>
            </w:r>
          </w:p>
        </w:tc>
      </w:tr>
    </w:tbl>
    <w:p>
      <w:pPr>
        <w:spacing w:before="240" w:after="240"/>
        <w:rPr>
          <w:lang w:val="el" w:eastAsia="el"/>
        </w:rPr>
      </w:pPr>
      <w:r>
        <w:rPr>
          <w:b/>
          <w:bCs/>
          <w:lang w:val="el" w:eastAsia="el"/>
        </w:rPr>
        <w:t>Οι Συμμετέχουσες Δικαιοδοσίες, όπως ορίζονται στο σημείο Ε’ του παρόντος άρθρου, λαμβάνονται υπόψη για την εφαρμογή των κανόνων υποβολής στοιχείων και δέουσας επιμέλειας από την 1</w:t>
      </w:r>
      <w:r>
        <w:rPr>
          <w:b/>
          <w:bCs/>
          <w:sz w:val="30"/>
          <w:szCs w:val="30"/>
          <w:vertAlign w:val="superscript"/>
          <w:lang w:val="el" w:eastAsia="el"/>
        </w:rPr>
        <w:t>η</w:t>
      </w:r>
      <w:r>
        <w:rPr>
          <w:b/>
          <w:bCs/>
          <w:lang w:val="el" w:eastAsia="el"/>
        </w:rPr>
        <w:t xml:space="preserve"> Ιανουαρίου 2020.</w:t>
      </w:r>
    </w:p>
    <w:p>
      <w:pPr>
        <w:spacing w:before="240" w:after="240"/>
        <w:rPr>
          <w:lang w:val="el" w:eastAsia="el"/>
        </w:rPr>
      </w:pPr>
      <w:r>
        <w:rPr>
          <w:b/>
          <w:bCs/>
          <w:lang w:val="el" w:eastAsia="el"/>
        </w:rPr>
        <w:t xml:space="preserve">β. </w:t>
      </w:r>
      <w:r>
        <w:rPr>
          <w:b/>
          <w:bCs/>
          <w:lang w:val="el" w:eastAsia="el"/>
        </w:rPr>
        <w:t>Μετά το σημείο Ε’ του άρθρου 2 προστίθεται σημείο ΣΤ’, ως εξής:</w:t>
      </w:r>
    </w:p>
    <w:p>
      <w:pPr>
        <w:spacing w:before="240" w:after="240"/>
        <w:rPr>
          <w:lang w:val="el" w:eastAsia="el"/>
        </w:rPr>
      </w:pPr>
      <w:r>
        <w:rPr>
          <w:b/>
          <w:bCs/>
          <w:lang w:val="el" w:eastAsia="el"/>
        </w:rPr>
        <w:t>«ΣΤ. Για την εφαρμογή των κανόνων υποβολής στοιχείων και δέουσας επιμέλειας αναφορικά με το έτος 2021:</w:t>
      </w:r>
    </w:p>
    <w:p>
      <w:pPr>
        <w:spacing w:before="240" w:after="240"/>
        <w:rPr>
          <w:lang w:val="el" w:eastAsia="el"/>
        </w:rPr>
      </w:pPr>
      <w:r>
        <w:rPr>
          <w:b/>
          <w:bCs/>
          <w:lang w:val="el" w:eastAsia="el"/>
        </w:rPr>
        <w:t>Συμμετέχουσες Δικαιοδοσίες είναι όλες οι Δικαιοδοσίες που περιλαμβάνονται στους Πίνακες Α’, Β’, Γ’, Δ’ και Ε’ του παρόντος άρθρου.</w:t>
      </w:r>
    </w:p>
    <w:p>
      <w:pPr>
        <w:spacing w:before="240" w:after="240"/>
        <w:rPr>
          <w:lang w:val="el" w:eastAsia="el"/>
        </w:rPr>
      </w:pPr>
      <w:r>
        <w:rPr>
          <w:b/>
          <w:bCs/>
          <w:lang w:val="el" w:eastAsia="el"/>
        </w:rPr>
        <w:t>Οι Συμμετέχουσες Δικαιοδοσίες όπως ορίζονται στο σημείο ΣΤ’ του παρόντος άρθρου, λαμβάνονται υπόψη για την εφαρμογή των κανόνων υποβολής στοιχείων και δέουσας επιμέλειας από την 1</w:t>
      </w:r>
      <w:r>
        <w:rPr>
          <w:b/>
          <w:bCs/>
          <w:sz w:val="30"/>
          <w:szCs w:val="30"/>
          <w:vertAlign w:val="superscript"/>
          <w:lang w:val="el" w:eastAsia="el"/>
        </w:rPr>
        <w:t>η</w:t>
      </w:r>
      <w:r>
        <w:rPr>
          <w:b/>
          <w:bCs/>
          <w:lang w:val="el" w:eastAsia="el"/>
        </w:rPr>
        <w:t xml:space="preserve"> Ιανουαρίου 2021.».</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Εθνικό Τυπογραφείο</w:t>
      </w:r>
    </w:p>
    <w:p>
      <w:pPr>
        <w:spacing w:before="240" w:after="240"/>
        <w:rPr>
          <w:lang w:val="el" w:eastAsia="el"/>
        </w:rPr>
      </w:pPr>
      <w:r>
        <w:rPr>
          <w:b/>
          <w:bCs/>
          <w:lang w:val="el" w:eastAsia="el"/>
        </w:rPr>
        <w:t>(στην ηλεκτρονική διεύθυνση “webmaster.et@et.gr”), για δημοσίευση της απόφασης</w:t>
      </w:r>
    </w:p>
    <w:p>
      <w:pPr>
        <w:spacing w:before="240" w:after="240"/>
        <w:rPr>
          <w:lang w:val="el" w:eastAsia="el"/>
        </w:rPr>
      </w:pPr>
      <w:r>
        <w:rPr>
          <w:b/>
          <w:bCs/>
          <w:lang w:val="el" w:eastAsia="el"/>
        </w:rPr>
        <w:t>2. Διεύθυνση Υπηρεσιών Δεδομένων</w:t>
      </w:r>
    </w:p>
    <w:p>
      <w:pPr>
        <w:spacing w:before="240" w:after="240"/>
        <w:rPr>
          <w:lang w:val="el" w:eastAsia="el"/>
        </w:rPr>
      </w:pPr>
      <w:r>
        <w:rPr>
          <w:b/>
          <w:bCs/>
          <w:lang w:val="el" w:eastAsia="el"/>
        </w:rPr>
        <w:t>3. 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4. Πίνακες Αποδεκτών: Α’ (με α/α 1) εκτός των ως άνω υπηρεσιών με α/α 2 και 3, Β’ (με α/α 4 και 5) και Γ’</w:t>
      </w:r>
    </w:p>
    <w:p>
      <w:pPr>
        <w:spacing w:before="240" w:after="240"/>
        <w:rPr>
          <w:lang w:val="el" w:eastAsia="el"/>
        </w:rPr>
      </w:pPr>
      <w:r>
        <w:rPr>
          <w:b/>
          <w:bCs/>
          <w:lang w:val="el" w:eastAsia="el"/>
        </w:rPr>
        <w:t>5. Τράπεζα της Ελλάδος (με την παράκληση να κοινοποιηθεί σε όλους τους εποπτευόμενους φορείς της)</w:t>
      </w:r>
    </w:p>
    <w:p>
      <w:pPr>
        <w:spacing w:before="240" w:after="240"/>
        <w:rPr>
          <w:lang w:val="el" w:eastAsia="el"/>
        </w:rPr>
      </w:pPr>
      <w:r>
        <w:rPr>
          <w:b/>
          <w:bCs/>
          <w:lang w:val="el" w:eastAsia="el"/>
        </w:rPr>
        <w:t>6. Επιτροπή Κεφαλαιαγοράς (με την παράκληση να κοινοποιηθεί σε όλους τους εποπτευόμενους φορείς της)</w:t>
      </w:r>
    </w:p>
    <w:p>
      <w:pPr>
        <w:spacing w:before="240" w:after="240"/>
        <w:rPr>
          <w:lang w:val="el" w:eastAsia="el"/>
        </w:rPr>
      </w:pPr>
      <w:r>
        <w:rPr>
          <w:b/>
          <w:bCs/>
          <w:lang w:val="el" w:eastAsia="el"/>
        </w:rPr>
        <w:t>7. Ελληνική Ένωση Τραπεζών (με την παράκληση να κοινοποιηθεί σε όλα τα μέλη της)</w:t>
      </w:r>
    </w:p>
    <w:p>
      <w:pPr>
        <w:spacing w:before="240" w:after="240"/>
        <w:rPr>
          <w:lang w:val="el" w:eastAsia="el"/>
        </w:rPr>
      </w:pPr>
      <w:r>
        <w:rPr>
          <w:b/>
          <w:bCs/>
          <w:lang w:val="el" w:eastAsia="el"/>
        </w:rPr>
        <w:t>8. Ένωση Ασφαλιστικών Εταιρειών Ελλάδος (με την παράκληση να κοινοποιηθεί σε όλα τα μέλη της)</w:t>
      </w:r>
    </w:p>
    <w:p>
      <w:pPr>
        <w:spacing w:before="240" w:after="240"/>
        <w:rPr>
          <w:lang w:val="el" w:eastAsia="el"/>
        </w:rPr>
      </w:pPr>
      <w:r>
        <w:rPr>
          <w:b/>
          <w:bCs/>
          <w:lang w:val="el" w:eastAsia="el"/>
        </w:rPr>
        <w:t>9. Ελληνική Ένωση Διαχειριστών Συλλογικών Επενδύσεων (με την παράκληση να κοινοποιηθεί σε όλα τα μέλη της)</w:t>
      </w:r>
    </w:p>
    <w:p>
      <w:pPr>
        <w:spacing w:before="240" w:after="240"/>
        <w:rPr>
          <w:lang w:val="el" w:eastAsia="el"/>
        </w:rPr>
      </w:pPr>
      <w:r>
        <w:rPr>
          <w:b/>
          <w:bCs/>
          <w:lang w:val="el" w:eastAsia="el"/>
        </w:rPr>
        <w:t>10. Σύνδεσμος Μελών Χρηματιστηρίου Αθηνών (με την παράκληση να κοινοποιηθεί σε όλα τα μέλη του)</w:t>
      </w:r>
    </w:p>
    <w:p>
      <w:pPr>
        <w:spacing w:before="240" w:after="240"/>
        <w:rPr>
          <w:lang w:val="el" w:eastAsia="el"/>
        </w:rPr>
      </w:pPr>
      <w:r>
        <w:rPr>
          <w:b/>
          <w:bCs/>
          <w:lang w:val="el" w:eastAsia="el"/>
        </w:rPr>
        <w:t>11. Όμιλος Χρηματιστηρίου Αθηνών</w:t>
      </w:r>
    </w:p>
    <w:p>
      <w:pPr>
        <w:spacing w:before="240" w:after="240"/>
        <w:rPr>
          <w:lang w:val="el" w:eastAsia="el"/>
        </w:rPr>
      </w:pPr>
      <w:r>
        <w:rPr>
          <w:b/>
          <w:bCs/>
          <w:lang w:val="el" w:eastAsia="el"/>
        </w:rPr>
        <w:t>12. Ένωση Συνεταιριστικών Τραπεζών (με την παράκληση να κοινοποιηθεί σε όλα τα μέλη της)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 Υφυπουργού αρμόδιου για θέματα Φορολογικής Πολιτικής και Δημόσιας Περιουσίας</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κ. Υφυπουργού αρμόδιου για το Χρηματοπιστωτικό Σύστημα</w:t>
      </w:r>
    </w:p>
    <w:p>
      <w:pPr>
        <w:pStyle w:val="StructureList1"/>
        <w:spacing w:before="120" w:after="0"/>
        <w:rPr>
          <w:lang w:val="el" w:eastAsia="el"/>
        </w:rPr>
      </w:pPr>
      <w:r>
        <w:rPr>
          <w:b/>
          <w:bCs/>
          <w:lang w:val="el" w:eastAsia="el"/>
        </w:rPr>
        <w:t>δ)</w:t>
      </w:r>
      <w:r>
        <w:rPr>
          <w:b/>
          <w:bCs/>
          <w:lang w:val="en" w:eastAsia="en"/>
        </w:rPr>
        <w:tab/>
      </w:r>
      <w:r>
        <w:rPr>
          <w:b/>
          <w:bCs/>
          <w:lang w:val="el" w:eastAsia="el"/>
        </w:rPr>
        <w:t>Γραφείο κας. Γενικής Γραμματέως Φορολογικής Πολιτικής και Δημόσιας Περιουσίας</w:t>
      </w:r>
    </w:p>
    <w:p>
      <w:pPr>
        <w:pStyle w:val="StructureList1"/>
        <w:spacing w:before="120" w:after="0"/>
        <w:rPr>
          <w:lang w:val="el" w:eastAsia="el"/>
        </w:rPr>
      </w:pPr>
      <w:r>
        <w:rPr>
          <w:b/>
          <w:bCs/>
          <w:lang w:val="el" w:eastAsia="el"/>
        </w:rPr>
        <w:t>ε)</w:t>
      </w:r>
      <w:r>
        <w:rPr>
          <w:b/>
          <w:bCs/>
          <w:lang w:val="en" w:eastAsia="en"/>
        </w:rPr>
        <w:tab/>
      </w:r>
      <w:r>
        <w:rPr>
          <w:b/>
          <w:bCs/>
          <w:lang w:val="el" w:eastAsia="el"/>
        </w:rPr>
        <w:t>Γραφείο κ. Γενικού Γραμματέα Πληροφοριακών Συστημάτων Δημόσιας Διοίκησης</w:t>
      </w:r>
    </w:p>
    <w:p>
      <w:pPr>
        <w:pStyle w:val="StructureList1"/>
        <w:spacing w:before="120" w:after="0"/>
        <w:rPr>
          <w:lang w:val="el" w:eastAsia="el"/>
        </w:rPr>
      </w:pPr>
      <w:r>
        <w:rPr>
          <w:b/>
          <w:bCs/>
          <w:lang w:val="el" w:eastAsia="el"/>
        </w:rPr>
        <w:t>στ)</w:t>
      </w:r>
      <w:r>
        <w:rPr>
          <w:b/>
          <w:bCs/>
          <w:lang w:val="en" w:eastAsia="en"/>
        </w:rPr>
        <w:tab/>
      </w:r>
      <w:r>
        <w:rPr>
          <w:b/>
          <w:bCs/>
          <w:lang w:val="el" w:eastAsia="el"/>
        </w:rPr>
        <w:t>Γραφείο κ. Γενικού Γραμματέα Οικονομικής Πολιτικής</w:t>
      </w:r>
    </w:p>
    <w:p>
      <w:pPr>
        <w:pStyle w:val="StructureList1"/>
        <w:spacing w:before="120" w:after="0"/>
        <w:rPr>
          <w:lang w:val="el" w:eastAsia="el"/>
        </w:rPr>
      </w:pPr>
      <w:r>
        <w:rPr>
          <w:b/>
          <w:bCs/>
          <w:lang w:val="el" w:eastAsia="el"/>
        </w:rPr>
        <w:t>ζ)</w:t>
      </w:r>
      <w:r>
        <w:rPr>
          <w:b/>
          <w:bCs/>
          <w:lang w:val="en" w:eastAsia="en"/>
        </w:rPr>
        <w:tab/>
      </w:r>
      <w:r>
        <w:rPr>
          <w:b/>
          <w:bCs/>
          <w:lang w:val="el" w:eastAsia="el"/>
        </w:rPr>
        <w:t>Γραφείο Προϊσταμένου Γενικής Δ/νσης Οικονομικής Πολιτικής</w:t>
      </w:r>
    </w:p>
    <w:p>
      <w:pPr>
        <w:pStyle w:val="StructureList1"/>
        <w:spacing w:before="120" w:after="0"/>
        <w:rPr>
          <w:lang w:val="el" w:eastAsia="el"/>
        </w:rPr>
      </w:pPr>
      <w:r>
        <w:rPr>
          <w:b/>
          <w:bCs/>
          <w:lang w:val="el" w:eastAsia="el"/>
        </w:rPr>
        <w:t>η)</w:t>
      </w:r>
      <w:r>
        <w:rPr>
          <w:b/>
          <w:bCs/>
          <w:lang w:val="en" w:eastAsia="en"/>
        </w:rPr>
        <w:tab/>
      </w:r>
      <w:r>
        <w:rPr>
          <w:b/>
          <w:bCs/>
          <w:lang w:val="el" w:eastAsia="el"/>
        </w:rPr>
        <w:t>Δ/νση Χρηματοοικονομικής Πολιτικής</w:t>
      </w:r>
    </w:p>
    <w:p>
      <w:pPr>
        <w:pStyle w:val="StructureList1"/>
        <w:spacing w:before="120" w:after="0"/>
        <w:rPr>
          <w:lang w:val="el" w:eastAsia="el"/>
        </w:rPr>
      </w:pPr>
      <w:r>
        <w:rPr>
          <w:b/>
          <w:bCs/>
          <w:lang w:val="el" w:eastAsia="el"/>
        </w:rPr>
        <w:t>θ)</w:t>
      </w:r>
      <w:r>
        <w:rPr>
          <w:b/>
          <w:bCs/>
          <w:lang w:val="en" w:eastAsia="en"/>
        </w:rPr>
        <w:tab/>
      </w:r>
      <w:r>
        <w:rPr>
          <w:b/>
          <w:bCs/>
          <w:lang w:val="el" w:eastAsia="el"/>
        </w:rPr>
        <w:t>Δ/νση Φορολογικής Πολιτικής</w:t>
      </w:r>
    </w:p>
    <w:p>
      <w:pPr>
        <w:pStyle w:val="StructureList1"/>
        <w:spacing w:before="120" w:after="0"/>
        <w:rPr>
          <w:lang w:val="el" w:eastAsia="el"/>
        </w:rPr>
      </w:pPr>
      <w:r>
        <w:rPr>
          <w:b/>
          <w:bCs/>
          <w:lang w:val="el" w:eastAsia="el"/>
        </w:rPr>
        <w:t>ι)</w:t>
      </w:r>
      <w:r>
        <w:rPr>
          <w:b/>
          <w:bCs/>
          <w:lang w:val="en" w:eastAsia="en"/>
        </w:rPr>
        <w:tab/>
      </w:r>
      <w:r>
        <w:rPr>
          <w:b/>
          <w:bCs/>
          <w:lang w:val="el" w:eastAsia="el"/>
        </w:rPr>
        <w:t>Δ/νση Ευρωπαϊκής Ένωσης και Διεθνών Σχέσεων</w:t>
      </w:r>
    </w:p>
    <w:p>
      <w:pPr>
        <w:pStyle w:val="StructureList1"/>
        <w:spacing w:before="120" w:after="0"/>
        <w:rPr>
          <w:lang w:val="el" w:eastAsia="el"/>
        </w:rPr>
      </w:pPr>
      <w:r>
        <w:rPr>
          <w:b/>
          <w:bCs/>
          <w:lang w:val="el" w:eastAsia="el"/>
        </w:rPr>
        <w:t>ια)</w:t>
      </w:r>
      <w:r>
        <w:rPr>
          <w:b/>
          <w:bCs/>
          <w:lang w:val="en" w:eastAsia="en"/>
        </w:rPr>
        <w:tab/>
      </w:r>
      <w:r>
        <w:rPr>
          <w:b/>
          <w:bCs/>
          <w:lang w:val="el" w:eastAsia="el"/>
        </w:rPr>
        <w:t>Μονάδα Εσωτερικού Ελέγχου</w:t>
      </w:r>
    </w:p>
    <w:p>
      <w:pPr>
        <w:spacing w:before="240" w:after="240"/>
        <w:rPr>
          <w:lang w:val="el" w:eastAsia="el"/>
        </w:rPr>
      </w:pPr>
      <w:r>
        <w:rPr>
          <w:b/>
          <w:bCs/>
          <w:lang w:val="el" w:eastAsia="el"/>
        </w:rPr>
        <w:t>2. Μόνιμη Ελληνική Αντιπροσωπεία (ΜΕΑ) στον ΟΟΣΑ</w:t>
      </w:r>
    </w:p>
    <w:p>
      <w:pPr>
        <w:spacing w:before="240" w:after="240"/>
        <w:rPr>
          <w:lang w:val="el" w:eastAsia="el"/>
        </w:rPr>
      </w:pPr>
      <w:r>
        <w:rPr>
          <w:b/>
          <w:bCs/>
          <w:lang w:val="el" w:eastAsia="el"/>
        </w:rPr>
        <w:t>3. Πίνακες Αποδεκτών: Α΄ (με α/α 2 έως 4), Β’ (με α/α 1 έως 3), Ζ΄ (με α/α 1, 3, 4 και 7), Η΄ (με α/ α 1 έως 3 και 5 έως 9), Θ΄(με α/α 1 έως 4, 8 έως 10, 13 έως 15 και 17), Ι΄, ΙΑ΄ (με α/α 2 και 3), ΙΒ΄ (με α/α 2 έως 16), Κ΄</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της ΑΑΔΕ</w:t>
      </w:r>
    </w:p>
    <w:p>
      <w:pPr>
        <w:spacing w:before="240" w:after="240"/>
        <w:rPr>
          <w:lang w:val="el" w:eastAsia="el"/>
        </w:rPr>
      </w:pPr>
      <w:r>
        <w:rPr>
          <w:b/>
          <w:bCs/>
          <w:lang w:val="el" w:eastAsia="el"/>
        </w:rPr>
        <w:t>2. Προϊσταμένους Γενικών Δ/νσεων της ΑΑΔΕ</w:t>
      </w:r>
    </w:p>
    <w:p>
      <w:pPr>
        <w:spacing w:before="240" w:after="240"/>
        <w:rPr>
          <w:lang w:val="el" w:eastAsia="el"/>
        </w:rPr>
      </w:pPr>
      <w:r>
        <w:rPr>
          <w:b/>
          <w:bCs/>
          <w:lang w:val="el" w:eastAsia="el"/>
        </w:rPr>
        <w:t>3. Δ/νση Νομικής Υποστήριξης</w:t>
      </w:r>
    </w:p>
    <w:p>
      <w:pPr>
        <w:spacing w:before="240" w:after="240"/>
        <w:rPr>
          <w:lang w:val="el" w:eastAsia="el"/>
        </w:rPr>
      </w:pPr>
      <w:r>
        <w:rPr>
          <w:b/>
          <w:bCs/>
          <w:lang w:val="el" w:eastAsia="el"/>
        </w:rPr>
        <w:t>4. Δ/νση Διεθνών Οικονομικών Σχέσεων, Τμήματα Α’ και Γ’</w:t>
      </w:r>
    </w:p>
    <w:p>
      <w:pPr>
        <w:spacing w:before="240" w:after="240"/>
        <w:rPr>
          <w:lang w:val="el" w:eastAsia="el"/>
        </w:rPr>
      </w:pPr>
      <w:r>
        <w:rPr>
          <w:b/>
          <w:bCs/>
          <w:lang w:val="el" w:eastAsia="el"/>
        </w:rPr>
        <w:t>5.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aade.gr" TargetMode="External" /><Relationship Id="rId5" Type="http://schemas.openxmlformats.org/officeDocument/2006/relationships/hyperlink" Target="mailto:dos.c@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