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74074 ΕΞ 2021</w:t>
      </w:r>
    </w:p>
    <w:p>
      <w:pPr>
        <w:pStyle w:val="Title"/>
        <w:spacing w:before="120" w:after="360"/>
        <w:rPr>
          <w:lang w:val="el" w:eastAsia="el"/>
        </w:rPr>
      </w:pPr>
      <w:r>
        <w:rPr>
          <w:lang w:val="el" w:eastAsia="el"/>
        </w:rPr>
        <w:t>Διαδικασία καταβολής συνεισφοράς Δημοσίου για την αποπληρωμή επιχειρηματικών δανείων για δανειολήπτες που έχουν πληγεί από τις δυσμενείς συνέπειες του κορωνοϊού COVID-19 στο πλαίσιο των άρθρων 64-77 του ν. 4790/2021 (Α' 48)</w:t>
      </w:r>
    </w:p>
    <w:p>
      <w:pPr>
        <w:pStyle w:val="Title"/>
        <w:spacing w:before="120" w:after="360"/>
        <w:rPr>
          <w:lang w:val="el" w:eastAsia="el"/>
        </w:rPr>
      </w:pPr>
      <w:r>
        <w:rPr>
          <w:b/>
          <w:bCs/>
          <w:lang w:val="el" w:eastAsia="el"/>
        </w:rPr>
        <w:t>Αριθμ. 74074 ΕΞ 2021</w:t>
      </w:r>
    </w:p>
    <w:p>
      <w:pPr>
        <w:pStyle w:val="PreambelText"/>
        <w:spacing w:before="240" w:after="240"/>
        <w:rPr>
          <w:lang w:val="el" w:eastAsia="el"/>
        </w:rPr>
      </w:pPr>
      <w:r>
        <w:rPr>
          <w:lang w:val="el" w:eastAsia="el"/>
        </w:rPr>
        <w:t>(ΦΕΚ Β' 2668/23-06-2021)</w:t>
      </w:r>
    </w:p>
    <w:p>
      <w:pPr>
        <w:pStyle w:val="PreambelText"/>
        <w:spacing w:before="240" w:after="240"/>
        <w:rPr>
          <w:lang w:val="el" w:eastAsia="el"/>
        </w:rPr>
      </w:pPr>
      <w:r>
        <w:rPr>
          <w:lang w:val="el" w:eastAsia="el"/>
        </w:rPr>
        <w:t>ΟΙ ΥΠΟΥΡΓΟΙ</w:t>
      </w:r>
    </w:p>
    <w:p>
      <w:pPr>
        <w:pStyle w:val="PreambelText"/>
        <w:spacing w:before="240" w:after="240"/>
        <w:rPr>
          <w:lang w:val="el" w:eastAsia="el"/>
        </w:rPr>
      </w:pPr>
      <w:r>
        <w:rPr>
          <w:lang w:val="el" w:eastAsia="el"/>
        </w:rPr>
        <w:t>ΟΙΚΟΝΟΜΙΚΩΝ - ΑΝΑΠΤΥΞΗΣ ΚΑΙ ΕΠΕΝΔΥΣΕΩΝ - ΕΡΓΑΣΙΑΣ ΚΑΙ ΚΟΙΝΩΝΙΚΩΝ ΥΠΟΘΕΣΕΩΝ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Την παρ. 6 του άρθρου 70 του ν. 4790/2021 «Κατεπείγουσες ρυθμίσεις για την προστασία της δημόσιας υγείας από τις συνεχιζόμενες συνέπειες της πανδημίας του κορωνοϊού COVID-19, την ανάπτυξη, την κοινωνική προστασία και την επαναλειτουργία των δικαστηρίων και άλλα ζητήματα» (Α' 48).</w:t>
      </w:r>
    </w:p>
    <w:p>
      <w:pPr>
        <w:pStyle w:val="PreambelText"/>
        <w:spacing w:before="240" w:after="240"/>
        <w:rPr>
          <w:lang w:val="el" w:eastAsia="el"/>
        </w:rPr>
      </w:pPr>
      <w:r>
        <w:rPr>
          <w:lang w:val="el" w:eastAsia="el"/>
        </w:rPr>
        <w:t>2. Το άρθρο 90 του Κώδικα Νομοθεσίας για την Κυβέρνηση και τα κυβερνητικά όργανα (π.δ. 63/2005 -Α' 98), το οποίο διατηρήθηκε σε ισχύ με την παρ. 22 του άρθρου 119 του ν. 4622/2019 (Α' 133).</w:t>
      </w:r>
    </w:p>
    <w:p>
      <w:pPr>
        <w:pStyle w:val="PreambelText"/>
        <w:spacing w:before="240" w:after="240"/>
        <w:rPr>
          <w:lang w:val="el" w:eastAsia="el"/>
        </w:rPr>
      </w:pPr>
      <w:r>
        <w:rPr>
          <w:lang w:val="el" w:eastAsia="el"/>
        </w:rPr>
        <w:t>3. Το π.δ. 81/2019 «Σύσταση, συγχώνευση και μετονομασία Υπουργείων και καθορισμός των αρμοδιοτήτων τους - Μεταφορά υπηρεσιών και αρμοδιοτήτων μεταξύ Υπουργείων» (Α' 119) και το π.δ. 84/2019 «Σύσταση και κατάργηση Γενικών Γραμματειών και Ειδικών Γραμματειών/Ενιαίων Διοικητικών Τομέων Υπουργείων», (Α' 123).</w:t>
      </w:r>
    </w:p>
    <w:p>
      <w:pPr>
        <w:pStyle w:val="PreambelText"/>
        <w:spacing w:before="240" w:after="240"/>
        <w:rPr>
          <w:lang w:val="el" w:eastAsia="el"/>
        </w:rPr>
      </w:pPr>
      <w:r>
        <w:rPr>
          <w:lang w:val="el" w:eastAsia="el"/>
        </w:rPr>
        <w:t>4. Το π.δ. 83/2019 «Διορισμός Υπουργών, Αναπληρωτών Υπουργών και Υφυπουργών» (Α' 121).</w:t>
      </w:r>
    </w:p>
    <w:p>
      <w:pPr>
        <w:pStyle w:val="PreambelText"/>
        <w:spacing w:before="240" w:after="240"/>
        <w:rPr>
          <w:lang w:val="el" w:eastAsia="el"/>
        </w:rPr>
      </w:pPr>
      <w:r>
        <w:rPr>
          <w:lang w:val="el" w:eastAsia="el"/>
        </w:rPr>
        <w:t>5. Το π.δ. 2/2021 «Διορισμός Υπουργών, Αναπληρωτών Υπουργών και Υφυπουργών» (Α' 2).</w:t>
      </w:r>
    </w:p>
    <w:p>
      <w:pPr>
        <w:pStyle w:val="PreambelText"/>
        <w:spacing w:before="240" w:after="240"/>
        <w:rPr>
          <w:lang w:val="el" w:eastAsia="el"/>
        </w:rPr>
      </w:pPr>
      <w:r>
        <w:rPr>
          <w:lang w:val="el" w:eastAsia="el"/>
        </w:rPr>
        <w:t>6. Την υπό στοιχεία Υ70 απόφαση του Πρωθυπουργού με θέμα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7. Το π.δ. 142/2017 «Οργανισμός Υπουργείου Οικονομικών» (Α' 181).</w:t>
      </w:r>
    </w:p>
    <w:p>
      <w:pPr>
        <w:pStyle w:val="PreambelText"/>
        <w:spacing w:before="240" w:after="240"/>
        <w:rPr>
          <w:lang w:val="el" w:eastAsia="el"/>
        </w:rPr>
      </w:pPr>
      <w:r>
        <w:rPr>
          <w:lang w:val="el" w:eastAsia="el"/>
        </w:rPr>
        <w:t>8. Το π.δ. 147/2017 «Οργανισμός του Υπουργείου Οικονομίας και Ανάπτυξης» (Α' 192).</w:t>
      </w:r>
    </w:p>
    <w:p>
      <w:pPr>
        <w:pStyle w:val="PreambelText"/>
        <w:spacing w:before="240" w:after="240"/>
        <w:rPr>
          <w:lang w:val="el" w:eastAsia="el"/>
        </w:rPr>
      </w:pPr>
      <w:r>
        <w:rPr>
          <w:lang w:val="el" w:eastAsia="el"/>
        </w:rPr>
        <w:t>9. Την υπ' αρ. 51875/7.5.2021 απόφαση του Πρωθυπουργού και του Υπουργού Ανάπτυξης και Επενδύσεων «Ανάθεση αρμοδιοτήτων στον Υφυπουργό Ανάπτυξης και Επενδύσεων, Ιωάννη Τσακίρη» (Β' 1867).</w:t>
      </w:r>
    </w:p>
    <w:p>
      <w:pPr>
        <w:pStyle w:val="PreambelText"/>
        <w:spacing w:before="240" w:after="240"/>
        <w:rPr>
          <w:lang w:val="el" w:eastAsia="el"/>
        </w:rPr>
      </w:pPr>
      <w:r>
        <w:rPr>
          <w:lang w:val="el" w:eastAsia="el"/>
        </w:rPr>
        <w:t>10. Το π.δ. 134/2017 «Οργανισμός Υπουργείου Εργασίας, Κοινωνικής Ασφάλισης και Κοινωνικής Αλληλεγγύης» (Α' 168).</w:t>
      </w:r>
    </w:p>
    <w:p>
      <w:pPr>
        <w:pStyle w:val="PreambelText"/>
        <w:spacing w:before="240" w:after="240"/>
        <w:rPr>
          <w:lang w:val="el" w:eastAsia="el"/>
        </w:rPr>
      </w:pPr>
      <w:r>
        <w:rPr>
          <w:lang w:val="el" w:eastAsia="el"/>
        </w:rPr>
        <w:t>11. Τον ν. 4270/2014 «Αρχές δημοσιονομικής διαχείρισης και εποπτείας (ενσωμάτωση της Οδηγίας 2011/85/ ΕΕ) - δημόσιο λογιστικό και άλλες διατάξεις» (Α' 143).</w:t>
      </w:r>
    </w:p>
    <w:p>
      <w:pPr>
        <w:pStyle w:val="PreambelText"/>
        <w:spacing w:before="240" w:after="240"/>
        <w:rPr>
          <w:lang w:val="el" w:eastAsia="el"/>
        </w:rPr>
      </w:pPr>
      <w:r>
        <w:rPr>
          <w:lang w:val="el" w:eastAsia="el"/>
        </w:rPr>
        <w:t>12. Τον ν. 3852/2010 «Νέα Αρχιτεκτονική της Αυτοδιοίκησης και της Αποκεντρωμένης Διοίκησης - Πρόγραμμα Καλλικράτης» (Α' 87).</w:t>
      </w:r>
    </w:p>
    <w:p>
      <w:pPr>
        <w:pStyle w:val="PreambelText"/>
        <w:spacing w:before="240" w:after="240"/>
        <w:rPr>
          <w:lang w:val="el" w:eastAsia="el"/>
        </w:rPr>
      </w:pPr>
      <w:r>
        <w:rPr>
          <w:lang w:val="el" w:eastAsia="el"/>
        </w:rPr>
        <w:t>13. Τον ν. 3607/2007 «Σύσταση και καταστατικό της Ηλεκτρονικής Διακυβέρνησης Κοινωνικής Ασφάλισης ΑΕ (Η.Δ.Ι.Κ.Α. ΑΕ) και λοιπές ασφαλιστικές και οργανωτικές διατάξεις» (Α' 245).</w:t>
      </w:r>
    </w:p>
    <w:p>
      <w:pPr>
        <w:pStyle w:val="PreambelText"/>
        <w:spacing w:before="240" w:after="240"/>
        <w:rPr>
          <w:lang w:val="el" w:eastAsia="el"/>
        </w:rPr>
      </w:pPr>
      <w:r>
        <w:rPr>
          <w:lang w:val="el" w:eastAsia="el"/>
        </w:rPr>
        <w:t>14. Την υπ' αρ. 431/2021 υπουργική απόφαση με θέμα «Λειτουργικές προδιαγραφές της Ηλεκτρονικής Πλατφόρμας Επιδότησης Επιχειρηματικών Δανείων Πληγέντων Κορωνοϊού στο πλαίσιο των άρθρων 65-77 του ν. 4790/2021» (Β' 1459).</w:t>
      </w:r>
    </w:p>
    <w:p>
      <w:pPr>
        <w:pStyle w:val="PreambelText"/>
        <w:spacing w:before="240" w:after="240"/>
        <w:rPr>
          <w:lang w:val="el" w:eastAsia="el"/>
        </w:rPr>
      </w:pPr>
      <w:r>
        <w:rPr>
          <w:lang w:val="el" w:eastAsia="el"/>
        </w:rPr>
        <w:t>15. Την ανάγκη καθορισμού της διαδικασίας καταβολής συνεισφοράς του Δημοσίου στο πλαίσιο του άρθρου 70 παρ. 6 του ν. 4790/2021 (Α' 48).</w:t>
      </w:r>
    </w:p>
    <w:p>
      <w:pPr>
        <w:pStyle w:val="PreambelText"/>
        <w:spacing w:before="240" w:after="240"/>
        <w:rPr>
          <w:lang w:val="el" w:eastAsia="el"/>
        </w:rPr>
      </w:pPr>
      <w:r>
        <w:rPr>
          <w:lang w:val="el" w:eastAsia="el"/>
        </w:rPr>
        <w:t>16. Την υπό στοιχεία 19.3.2020/C (2020) 1863 ανακοίνωση της Ευρωπαϊκής Επιτροπής («Προσωρινό Πλαίσιο»).</w:t>
      </w:r>
    </w:p>
    <w:p>
      <w:pPr>
        <w:pStyle w:val="PreambelText"/>
        <w:spacing w:before="240" w:after="240"/>
        <w:rPr>
          <w:lang w:val="el" w:eastAsia="el"/>
        </w:rPr>
      </w:pPr>
      <w:r>
        <w:rPr>
          <w:lang w:val="el" w:eastAsia="el"/>
        </w:rPr>
        <w:t>17. Την υπό στοιχεία 49798 ΕΞ 2021/23.4.2021 εισήγηση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18. Το γεγονός ότι από τις διατάξεις της παρούσας απόφασης προκαλείται δαπάνη συνολικού ύψους τριακοσίων εκατομμυρίων (300.000.000) ευρώ, σε βάρος του Προϋπολογισμού Δημοσίων Επενδύσεων του Υπουργείου Οικονομικών</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Διαδικασία καταβολής της Συνεισφοράς Δημοσίου</w:t>
      </w:r>
    </w:p>
    <w:p>
      <w:pPr>
        <w:pStyle w:val="MainText"/>
        <w:spacing w:before="120" w:after="0"/>
        <w:rPr>
          <w:lang w:val="el" w:eastAsia="el"/>
        </w:rPr>
      </w:pPr>
      <w:r>
        <w:rPr>
          <w:b/>
          <w:bCs/>
          <w:lang w:val="el" w:eastAsia="el"/>
        </w:rPr>
        <w:t>1.</w:t>
      </w:r>
      <w:r>
        <w:rPr>
          <w:lang w:val="el" w:eastAsia="el"/>
        </w:rPr>
        <w:t xml:space="preserve"> Σύμφωνα με τη διαδικασία που ορίζεται στο άρθρο 70 του ν. 4790/2021 (Α' 48), οι χρηματοδοτικοί φορείς μετά την ενημέρωση τους αναφορικά με την καταρχήν επιλεξιμότητα του οφειλέτη, αποστέλλουν στην ηλεκτρονική πλατφόρμα του άρθρου 67 του νόμου αυτού [εφεξής Ηλεκτρονική Πλατφόρμα Επιδότησης Επιχειρηματικών Δανείων Πληγέντων Κορωνοϊού (ΗΠΕΔΠΚ)]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ειδικό δεσμευμένο και ακατάσχετο λογαριασμό εξυπηρέτησης ανά επιλέξιμη οφειλή, με τη μορφή ΙΒΑΝ, που τηρείται σε αυτούς για την καταβολή της Συνεισφοράς Δημοσίου. Σε περίπτωση ανάθεσης της διαχείρισης της επιλέξιμης οφειλής σε Εταιρεία Διαχείρισης του ν. 4354/2015, ο εμπλεκόμενος χρηματοδοτικός φορέας μπορεί εναλλακτικά να γνωστοποιεί ειδικό δεσμευμένο και ακατάσχετο λογαριασμό με τη μορφή IBAN που έχει δημιουργηθεί για την εξυπηρέτηση της οφειλής, σε συνδυασμό με μοναδικό κωδικό αναφοράς που αντιστοιχεί στην επιλέξιμη οφειλή του δικαιούχου,</w:t>
      </w:r>
    </w:p>
    <w:p>
      <w:pPr>
        <w:pStyle w:val="StructureList1"/>
        <w:spacing w:before="120" w:after="0"/>
        <w:rPr>
          <w:lang w:val="el" w:eastAsia="el"/>
        </w:rPr>
      </w:pPr>
      <w:r>
        <w:rPr>
          <w:lang w:val="el" w:eastAsia="el"/>
        </w:rPr>
        <w:t>β)</w:t>
      </w:r>
      <w:r>
        <w:rPr>
          <w:lang w:val="en" w:eastAsia="en"/>
        </w:rPr>
        <w:tab/>
      </w:r>
      <w:r>
        <w:rPr>
          <w:lang w:val="el" w:eastAsia="el"/>
        </w:rPr>
        <w:t>ενημέρωση για την ύπαρξη ενεργού πλάνου δόσεων ανά επιλέξιμη οφειλή.</w:t>
      </w:r>
    </w:p>
    <w:p>
      <w:pPr>
        <w:pStyle w:val="MainText"/>
        <w:spacing w:before="120" w:after="0"/>
        <w:rPr>
          <w:lang w:val="el" w:eastAsia="el"/>
        </w:rPr>
      </w:pPr>
      <w:r>
        <w:rPr>
          <w:b/>
          <w:bCs/>
          <w:lang w:val="el" w:eastAsia="el"/>
        </w:rPr>
        <w:t>2.</w:t>
      </w:r>
      <w:r>
        <w:rPr>
          <w:lang w:val="el" w:eastAsia="el"/>
        </w:rPr>
        <w:t xml:space="preserve"> Στη συνέχεια, η Ειδική Γραμματεία Διαχείρισης Ιδιωτικού Χρέους του Υπουργείου Οικονομικών (ΕΓΔΙΧ) εγκρίνει εντός προθεσμίας δεκαπέντε (15) ημερολογιακών ημερών τη Συνεισφορά Δημοσίου, με βάση τα αναφερόμενα στοιχεία στην αίτηση και την επιλεξιμότητα του οφειλέτη.</w:t>
      </w:r>
    </w:p>
    <w:p>
      <w:pPr>
        <w:pStyle w:val="MainText"/>
        <w:spacing w:before="120" w:after="0"/>
        <w:rPr>
          <w:lang w:val="el" w:eastAsia="el"/>
        </w:rPr>
      </w:pPr>
      <w:r>
        <w:rPr>
          <w:b/>
          <w:bCs/>
          <w:lang w:val="el" w:eastAsia="el"/>
        </w:rPr>
        <w:t>3.</w:t>
      </w:r>
      <w:r>
        <w:rPr>
          <w:lang w:val="el" w:eastAsia="el"/>
        </w:rPr>
        <w:t xml:space="preserve"> Με την ολοκλήρωση της διαδικασίας έγκρισης της συνεισφοράς του Δημοσίου, σύμφωνα με το άρθρο 69 του ν. 4790/2021, οι χρηματοδοτικοί φορείς αποστέλλουν στην ΗΠΕΔΠΚ το ποσό των μηνιαίων δόσεων, ούτως ώστε να ξεκινήσει η έναρξη καταβολής της συνεισφοράς του Δημοσίου. Σε περίπτωση επιλέξιμων οφειλών για τις οποίες η δόση δεν είναι καταβλητέα σε μηνιαία βάση, αποστέλλεται ανά μήνα ενημέρωση σχετικά με το εάν οφείλεται ή όχι δόση για το μήνα αναφοράς, καθώς και το ποσό της δόσης για το μήνα κατά τον οποίο οφείλεται.</w:t>
      </w:r>
    </w:p>
    <w:p>
      <w:pPr>
        <w:pStyle w:val="MainText"/>
        <w:spacing w:before="120" w:after="0"/>
        <w:rPr>
          <w:lang w:val="el" w:eastAsia="el"/>
        </w:rPr>
      </w:pPr>
      <w:r>
        <w:rPr>
          <w:b/>
          <w:bCs/>
          <w:lang w:val="el" w:eastAsia="el"/>
        </w:rPr>
        <w:t>4.</w:t>
      </w:r>
      <w:r>
        <w:rPr>
          <w:lang w:val="el" w:eastAsia="el"/>
        </w:rPr>
        <w:t xml:space="preserve"> Στη συνέχεια η Ειδική Γραμματεία Διαχείρισης Ιδιωτικού Χρέους προωθεί μέσω της ΗΠΕΔΠΚ τα στοιχεία των μηνιαίων συνεισφορών του Δημοσίου για κάθε δικαιούχο στην Ηλεκτρονική Πλατφόρμα της Ανώνυμης Εταιρείας Ηλεκτρονικής Διακυβέρνησης Κοινωνικής Ασφάλισης (ΗΔΙΚΑ Α.Ε.), η οποία τηρεί τα στοιχεία των μηνιαίων Συνεισφορών του Δημοσίου. Κατόπιν, η ΗΔΙΚΑ Α.Ε. προβαίνει σε προώθηση των στοιχείων πληρωμών των μηνιαίων συνεισφορών του Δημοσίου στη Διεύθυνση Οικονομικής Διαχείρισης της Γενικής Διεύθυνσης Οικονομικών Υπηρεσιών του Υπουργείου Οικονομικών, η οποία προβαίνει στην πληρωμή των δικαιούχων, όπως περιγράφεται στη συνέχεια. Η καταβολή πραγματοποιείται με βάση σχετικό ηλεκτρονικό αρχείο αναλυτικής κατάστασης, μέσω του Διατραπεζικού Συστήματος Πληρωμών ΔΙΑΣ, με πίστωση των τραπεζικών λογαριασμών, που δηλώθηκαν από τους δικαιούχους. Στην αναλυτική κατάσταση περιλαμβάνονται κατ' ελάχιστο τα στοιχεία ταυτοποίησης των δικαιούχων (ονοματεπώνυμο, πατρώνυμο, Α.Μ.Κ.Α., Α.Φ.Μ.), ο αριθμός της εγκριτικής απόφασης χορήγησης της εισοδηματικής ενίσχυσης, το πληρωτέο ποσό, ο αριθμός ΙΒΑΝ του λογαριασμού των δικαιούχων και η ημερομηνία πίστωσης. Σε συγκεντρωτική κατάσταση πληρωμής της δαπάνης θα αναγράφονται ο συνολικός αριθμός των δικαιούχων, το συνολικό ποσό της πληρωμής, η κατανομή των πληρωμών ανά τράπεζα (αριθμός πιστώσεων και ποσά) και η αμοιβή της τράπεζας για την υλοποίηση της πληρωμής.</w:t>
      </w:r>
    </w:p>
    <w:p>
      <w:pPr>
        <w:pStyle w:val="MainText"/>
        <w:spacing w:before="120" w:after="0"/>
        <w:rPr>
          <w:lang w:val="el" w:eastAsia="el"/>
        </w:rPr>
      </w:pPr>
      <w:r>
        <w:rPr>
          <w:b/>
          <w:bCs/>
          <w:lang w:val="el" w:eastAsia="el"/>
        </w:rPr>
        <w:t>5.</w:t>
      </w:r>
      <w:r>
        <w:rPr>
          <w:lang w:val="el" w:eastAsia="el"/>
        </w:rPr>
        <w:t xml:space="preserve"> Η Συνεισφορά Δημοσίου καταβάλλεται στους δεσμευμένους και ακατάσχετους λογαριασμούς εξυπηρέτησης των επιλέξιμων οφειλών και δεν κατάσχεται ούτε συμψηφίζεται. Οι λογαριασμοί αυτοί πιστώνονται μόνο από το Δημόσιο με τη Συνεισφορά και χρεώνονται μόνο για την εξόφληση του δανείου, απαγορευμένης οποιασδήποτε άλλης κίνησης. Η χρέωση του ακατάσχετου λογαριασμού εξυπηρέτησης των επιλέξιμων οφειλών και η αντίστοιχη πίστωση του λογαριασμού εξυπηρέτησης του δανείου πραγματοποιούνται μετά τη λήψη της σχετικής εντολής από τον αντίστοιχο χρηματοδοτικό φορέα, σύμφωνα με τα ανωτέρω. Οι χρηματοδοτικοί φορείς απαγορεύεται να χρησιμοποιήσουν τα χρηματικά ποσά που κατατίθενται στους ειδικούς και ακατάσχετους λογαριασμούς της παρ. 1 για οποιοδήποτε άλλο λόγο πέρα από το σκοπό της καταβολής της συνεισφοράς του Δημοσίου στους δικαιούχους.</w:t>
      </w:r>
    </w:p>
    <w:p>
      <w:pPr>
        <w:pStyle w:val="MainText"/>
        <w:spacing w:before="120" w:after="0"/>
        <w:rPr>
          <w:lang w:val="el" w:eastAsia="el"/>
        </w:rPr>
      </w:pPr>
      <w:r>
        <w:rPr>
          <w:b/>
          <w:bCs/>
          <w:lang w:val="el" w:eastAsia="el"/>
        </w:rPr>
        <w:t>6.</w:t>
      </w:r>
      <w:r>
        <w:rPr>
          <w:lang w:val="el" w:eastAsia="el"/>
        </w:rPr>
        <w:t xml:space="preserve"> Η καταβολή της συνεισφοράς γίνεται σε μηνιαία βάση, ήτοι πιστώνεται στον ειδικό λογαριασμό εξυπηρέτησης των επιλέξιμων οφειλών, σύμφωνα με την παρ. 1, κατά οποιαδήποτε ημερομηνία του μήνα συγκεντρωθούν τα απαραίτητα στοιχεία για την εκτέλεση της πληρωμής σύμφωνα με το παρόν άρθρο, και υπό την προϋπόθεση της έγκρισης της αίτησης από την Ειδική Γραμματεία Διαχείρισης Ιδιωτικού Χρέους. Σε περίπτωση που για οποιοδήποτε λόγο, η συνεισφορά δεν πιστώθηκε εμπρόθεσμα στον λογαριασμό εξυπηρέτησης της οφειλής, ενώ είχε λάβει χώρα η έγκριση αυτής, δύναται να καταβληθεί αναδρομικά. Στην περίπτωση αυτή, πιστώνεται το ποσό που αντιστοιχεί στους μήνες για τους οποίους η συνεισφορά ήταν καταβλητέα, σύμφωνα με το πρώτο εδάφιο. Σε περίπτωση επιλέξιμων οφειλών για τις οποίες η δόση δεν είναι καταβλητέα σε μηνιαία βάση, κατόπιν της ενημέρωσης σύμφωνα με τα αναφερόμενα στην παράγραφο 3 του παρόντος άρθρου, η ΗΠΕΔΠΚ ανάγει τη δόση σε μηνιαία βάση και η συνεισφορά καταβάλλεται κατά τον χρόνο που είναι απαιτητή η δόση, μη δυνάμενη σε κάθε περίπτωση να υπερβαίνει το συνολικό χρονικό διάστημα επιδότησης σύμφωνα με το άρθρο 64 παρ. 1 του ν. 4790/2021 (Α' 48).</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7.</w:t>
      </w:r>
      <w:r>
        <w:rPr>
          <w:lang w:val="el" w:eastAsia="el"/>
        </w:rPr>
        <w:t xml:space="preserve"> Για την παρακολούθηση της τήρησης των υποχρεώσεων του οφειλέτη, οι χρηματοδοτικοί φορείς οφείλουν να αποστέλλουν σε μηνιαία βάση στην ηλεκτρονική πλατφόρμα κατάσταση δικαιούχων και καταβληθέντων ποσών, ώστε να διαπιστώνονται οι καταβολές για τον προηγούμενο ημερολογιακό μήνα.</w:t>
      </w:r>
    </w:p>
    <w:p>
      <w:pPr>
        <w:pStyle w:val="MainText"/>
        <w:spacing w:before="120" w:after="0"/>
        <w:rPr>
          <w:lang w:val="el" w:eastAsia="el"/>
        </w:rPr>
      </w:pPr>
      <w:r>
        <w:rPr>
          <w:b/>
          <w:bCs/>
          <w:lang w:val="el" w:eastAsia="el"/>
        </w:rPr>
        <w:t>8.</w:t>
      </w:r>
      <w:r>
        <w:rPr>
          <w:lang w:val="el" w:eastAsia="el"/>
        </w:rPr>
        <w:t xml:space="preserve"> Η Συνεισφορά του Δημοσίου θα ξεκινήσει να εγκρίνεται μετά την ημερομηνία έγκρισης του καθεστώτος ενίσχυσης από την αρμόδια υπηρεσία της Ε.Ε.</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Αίτηση θεραπείας</w:t>
      </w:r>
    </w:p>
    <w:p>
      <w:pPr>
        <w:spacing w:before="240" w:after="240"/>
        <w:rPr>
          <w:lang w:val="el" w:eastAsia="el"/>
        </w:rPr>
      </w:pPr>
      <w:r>
        <w:rPr>
          <w:lang w:val="el" w:eastAsia="el"/>
        </w:rPr>
        <w:t>Κατά της εγκριτικής ή απορριπτικής απόφασης της Ειδικής Γραμματείας Διαχείρισης Ιδιωτικού Χρέους, καθώς και των αποφάσεων διακοπής ή ανάκλησης επιτρέπεται η άσκηση αιτήσεως θεραπείας σύμφωνα με τα αναφερόμενα στο άρθρο 24 του ν. 2690/1999 (Α' 45 - Κώδικας Διοικητικής Διαδικασίας), προσκομίζοντας όλα τα απαραίτητα στοιχεία βάσει των οποίων ζητείται η ανάκληση ή η μεταρρύθμιση της απόφασης.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Χρόνος και τρόπος καταβολής</w:t>
      </w:r>
    </w:p>
    <w:p>
      <w:pPr>
        <w:pStyle w:val="MainText"/>
        <w:spacing w:before="120" w:after="0"/>
        <w:rPr>
          <w:lang w:val="el" w:eastAsia="el"/>
        </w:rPr>
      </w:pPr>
      <w:r>
        <w:rPr>
          <w:b/>
          <w:bCs/>
          <w:lang w:val="el" w:eastAsia="el"/>
        </w:rPr>
        <w:t>1.</w:t>
      </w:r>
      <w:r>
        <w:rPr>
          <w:lang w:val="el" w:eastAsia="el"/>
        </w:rPr>
        <w:t xml:space="preserve"> Η καταβολή πραγματοποιείται με βάση σχετικά ηλεκτρονικά αρχεία συγκεντρωτικής και αναλυτικής κατάστασης τα οποία αποστέλλονται στη ΓΔΟΥ του Υπουργείου Οικονομικών από την ΗΔΙΚΑ Α.Ε., την προηγούμενη ημέρα της εκάστοτε προγραμματισμένης πληρωμής. Η ΓΔΟΥ βάσει των καταστάσεων μεταφέρει μέσω του epde το συνολικό ποσό από το έργο που είναι ενταγμένο στη ΣΑ051/2, στον ενδιάμεσο λογαριασμό με κωδικό IBAN GR52 0100 0230 0000 0242 4222 890 και τίτλο «Πληρωμές ΠΔΕ Υπ. Οικονομικών μέσω ΔΙΑΣ ΑΕ» που τηρείται στην Τράπεζα της Ελλάδος με απευθείας μεταφορά χωρίς υπόλογο.</w:t>
      </w:r>
    </w:p>
    <w:p>
      <w:pPr>
        <w:pStyle w:val="MainText"/>
        <w:spacing w:before="120" w:after="0"/>
        <w:rPr>
          <w:lang w:val="el" w:eastAsia="el"/>
        </w:rPr>
      </w:pPr>
      <w:r>
        <w:rPr>
          <w:b/>
          <w:bCs/>
          <w:lang w:val="el" w:eastAsia="el"/>
        </w:rPr>
        <w:t>2.</w:t>
      </w:r>
      <w:r>
        <w:rPr>
          <w:lang w:val="el" w:eastAsia="el"/>
        </w:rPr>
        <w:t xml:space="preserve"> Η Διεύθυνση Λογαριασμών και Ταμειακού Προγραμματισμού του Γενικού Λογιστηρίου του Κράτους, ύστερα από αίτημα της ΓΔΟΥ του Υπουργείου Οικονομικών, εκδίδει ειδική εντολή προς την Τράπεζα της Ελλάδος για χρέωση του λογαριασμού του Ελληνικού Δημοσίου Νο 200 «Ελληνικό Δημόσιο - Συγκέντρωση Εισπράξεων -Πληρωμών» και την πίστωση του ανωτέρω ενδιάμεσου λογαριασμού με το ποσό που αφορά το συνολικό ανά συναλλαγή κόστος προς τρίτους (ΔΙΑΣ ΑΕ), σύμφωνα με την υπ' αρ. 109/12-3-2019 πράξη του Διοικητή της Τράπεζας της Ελλάδος. Η Τράπεζα της Ελλάδος εξουσιοδοτείται για την κάλυψη του ανά συναλλαγή κόστους προς τρίτους.</w:t>
      </w:r>
    </w:p>
    <w:p>
      <w:pPr>
        <w:pStyle w:val="MainText"/>
        <w:spacing w:before="120" w:after="0"/>
        <w:rPr>
          <w:lang w:val="el" w:eastAsia="el"/>
        </w:rPr>
      </w:pPr>
      <w:r>
        <w:rPr>
          <w:b/>
          <w:bCs/>
          <w:lang w:val="el" w:eastAsia="el"/>
        </w:rPr>
        <w:t>3.</w:t>
      </w:r>
      <w:r>
        <w:rPr>
          <w:lang w:val="el" w:eastAsia="el"/>
        </w:rPr>
        <w:t xml:space="preserve"> Ύστερα από την έγκριση της Διεύθυνσης Λογαριασμών και Ταμειακού Προγραμματισμού του Γενικού Λογιστηρίου του Κράτους, η οποία παρέχεται ηλεκτρονικά μέσω διαδικτυακής εφαρμογής, κατόπιν σχετικού αιτήματος της ΓΔΟΥ του Υπουργείου Οικονομικών, χρεώνεται ο λογαριασμός με IBAN GR52 0100 0230 0000 0242 4222 890 προκειμένου να διοχετευθούν οι επιμέρους πληρωμές, με τη μεσολάβηση της ΔΙΑΣ ΑΕ, προς του τραπεζικούς λογαριασμούς των δικαιούχων. Τυχόν υπόλοιπα στο λογαριασμό μετά την ολοκλήρωση της πληρωμής, μεταφέρονται με εντολή προς την Τράπεζα της Ελλάδος από τη Διεύθυνση Λογαριασμών και Ταμειακού Προγραμματισμού του Γενικού Λογιστηρίου του Κράτους, σε πίστωση του λογαριασμού με ΙΒΑΝ GR30 0100 0230 0000 0000 0002 002 και λογιστικοποιούνται ως έσοδα του ΠΔΕ.</w:t>
      </w:r>
    </w:p>
    <w:p>
      <w:pPr>
        <w:pStyle w:val="MainText"/>
        <w:spacing w:before="120" w:after="0"/>
        <w:rPr>
          <w:lang w:val="el" w:eastAsia="el"/>
        </w:rPr>
      </w:pPr>
      <w:r>
        <w:rPr>
          <w:b/>
          <w:bCs/>
          <w:lang w:val="el" w:eastAsia="el"/>
        </w:rPr>
        <w:t>4.</w:t>
      </w:r>
      <w:r>
        <w:rPr>
          <w:lang w:val="el" w:eastAsia="el"/>
        </w:rPr>
        <w:t xml:space="preserve"> Η αναλυτική κατάσταση της παρ. 4 του άρθρου 1 αποστέλλεται από την ΗΔΙΚΑ ΑΕ με ασφαλή τρόπο προς τη ΔΙΑΣ Α.Ε. Η ίδια πληροφόρηση κοινοποιείται στη ΓΔΟΥ του Υπουργείου Οικονομικών και στην Ειδική Υπηρεσία Διαχείρισης του ΕΠ «Ανταγωνιστικότητα Επιχειρηματικότητα και Καινοτομία». Η ΔΙΑΣ μεταφέρει τα ποσά από τον ενδιάμεσο λογαριασμό σε πίστωση των εμπορικών τραπεζικών λογαριασμών των δικαιούχων, στη βάση της αναλυτικής κατάστασης που ετοιμάζεται και αποστέλλεται από την ΗΔΙΚΑ ΑΕ.</w:t>
      </w:r>
    </w:p>
    <w:p>
      <w:pPr>
        <w:pStyle w:val="MainText"/>
        <w:spacing w:before="120" w:after="0"/>
        <w:rPr>
          <w:lang w:val="el" w:eastAsia="el"/>
        </w:rPr>
      </w:pPr>
      <w:r>
        <w:rPr>
          <w:b/>
          <w:bCs/>
          <w:lang w:val="el" w:eastAsia="el"/>
        </w:rPr>
        <w:t>5.</w:t>
      </w:r>
      <w:r>
        <w:rPr>
          <w:lang w:val="el" w:eastAsia="el"/>
        </w:rPr>
        <w:t xml:space="preserve"> Το αρχείο της αναλυτικής κατάστασης ενημερωμένο από την ΗΔΙΚΑ ΑΕ με τα ποσά που επιτυχώς πληρώθηκαν βάσει της σχετικής ενημέρωσης από τη ΔΙΑΣ, αποστέλλεται στην ΓΔΟΥ του Υπουργείου Οικονομικών και στην Ειδική Υπηρεσία Διαχείρισης του ΕΠ «Ανταγωνιστικότητα Επιχειρηματικότητα και Καινοτομία» προκειμένου να συνοδεύσει το αίτημα πληρωμής προς την ΕΕ.</w:t>
      </w:r>
    </w:p>
    <w:p>
      <w:pPr>
        <w:pStyle w:val="MainText"/>
        <w:spacing w:before="120" w:after="0"/>
        <w:rPr>
          <w:lang w:val="el" w:eastAsia="el"/>
        </w:rPr>
      </w:pPr>
      <w:r>
        <w:rPr>
          <w:b/>
          <w:bCs/>
          <w:lang w:val="el" w:eastAsia="el"/>
        </w:rPr>
        <w:t>6.</w:t>
      </w:r>
      <w:r>
        <w:rPr>
          <w:lang w:val="el" w:eastAsia="el"/>
        </w:rPr>
        <w:t xml:space="preserve"> Τα ποσά που απέτυχαν να πληρωθούν επιστρέφουν στον λογαριασμό του Ελληνικού Δημοσίου με IBAN GR30 0100 0230 0000 0000 0002 002 και λογιστικοποιούνται ως έσοδα του ΠΔΕ. Για τις αποτυχούσες πληρωμές, η ΕΓΔΙΧ ενημερώνει τους πιστωτές, ώστε να διορθώσουν τον τραπεζικό λογαριασμό ΙΒΑΝ στην πλατφόρμα ΗΠΕΔΠΚ, προκειμένου να διενεργηθεί δεύτερος κύκλος πληρωμών. Η εμφάνιση των σχετικών πληρωμών στη δημόσια ληψοδοσία πραγματοποιείται με την έκδοση συμψηφιστικών χρηματικών ενταλμάτων από τη ΓΔΟΥ του Υπουργείου Οικονομικών.</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7.</w:t>
      </w:r>
      <w:r>
        <w:rPr>
          <w:lang w:val="el" w:eastAsia="el"/>
        </w:rPr>
        <w:t xml:space="preserve"> Τα δικαιολογητικά για την έκδοση των σχετικών χρηματικών ενταλμάτων είναι τα ακόλουθα:</w:t>
      </w:r>
    </w:p>
    <w:p>
      <w:pPr>
        <w:pStyle w:val="StructureList1"/>
        <w:spacing w:before="120" w:after="0"/>
        <w:rPr>
          <w:lang w:val="el" w:eastAsia="el"/>
        </w:rPr>
      </w:pPr>
      <w:r>
        <w:rPr>
          <w:lang w:val="el" w:eastAsia="el"/>
        </w:rPr>
        <w:t>α)</w:t>
      </w:r>
      <w:r>
        <w:rPr>
          <w:lang w:val="en" w:eastAsia="en"/>
        </w:rPr>
        <w:tab/>
      </w:r>
      <w:r>
        <w:rPr>
          <w:lang w:val="el" w:eastAsia="el"/>
        </w:rPr>
        <w:t>η απόφαση του Υπουργού Ανάπτυξης και Επενδύσεων για ένταξη και έγκριση πιστώσεων του έργου στο ΠΔΕ 2021 (ΣΑΕ),</w:t>
      </w:r>
    </w:p>
    <w:p>
      <w:pPr>
        <w:pStyle w:val="StructureList1"/>
        <w:spacing w:before="120" w:after="0"/>
        <w:rPr>
          <w:lang w:val="el" w:eastAsia="el"/>
        </w:rPr>
      </w:pPr>
      <w:r>
        <w:rPr>
          <w:lang w:val="el" w:eastAsia="el"/>
        </w:rPr>
        <w:t>β)</w:t>
      </w:r>
      <w:r>
        <w:rPr>
          <w:lang w:val="en" w:eastAsia="en"/>
        </w:rPr>
        <w:tab/>
      </w:r>
      <w:r>
        <w:rPr>
          <w:lang w:val="el" w:eastAsia="el"/>
        </w:rPr>
        <w:t>η απόφαση χρηματοδότησης της ΣΑ 051/2</w:t>
      </w:r>
    </w:p>
    <w:p>
      <w:pPr>
        <w:pStyle w:val="StructureList1"/>
        <w:spacing w:before="120" w:after="0"/>
        <w:rPr>
          <w:lang w:val="el" w:eastAsia="el"/>
        </w:rPr>
      </w:pPr>
      <w:r>
        <w:rPr>
          <w:lang w:val="el" w:eastAsia="el"/>
        </w:rPr>
        <w:t>γ)</w:t>
      </w:r>
      <w:r>
        <w:rPr>
          <w:lang w:val="en" w:eastAsia="en"/>
        </w:rPr>
        <w:tab/>
      </w:r>
      <w:r>
        <w:rPr>
          <w:lang w:val="el" w:eastAsia="el"/>
        </w:rPr>
        <w:t>η σχετική εντολή κατανομής και η εκτέλεση αυτής από την Τράπεζα της Ελλάδος.</w:t>
      </w:r>
    </w:p>
    <w:p>
      <w:pPr>
        <w:pStyle w:val="StructureList1"/>
        <w:spacing w:before="120" w:after="0"/>
        <w:rPr>
          <w:lang w:val="el" w:eastAsia="el"/>
        </w:rPr>
      </w:pPr>
      <w:r>
        <w:rPr>
          <w:lang w:val="el" w:eastAsia="el"/>
        </w:rPr>
        <w:t>δ)</w:t>
      </w:r>
      <w:r>
        <w:rPr>
          <w:lang w:val="en" w:eastAsia="en"/>
        </w:rPr>
        <w:tab/>
      </w:r>
      <w:r>
        <w:rPr>
          <w:lang w:val="el" w:eastAsia="el"/>
        </w:rPr>
        <w:t>η συγκεντρωτική κατάσταση της πρώτης παραγράφου του παρόντος άρθρου.</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Διακοπή Συνεισφοράς Δημοσίου - Ανάκτηση αχρεωστήτως καταβληθέντων ποσών</w:t>
      </w:r>
    </w:p>
    <w:p>
      <w:pPr>
        <w:pStyle w:val="MainText"/>
        <w:spacing w:before="120" w:after="0"/>
        <w:rPr>
          <w:lang w:val="el" w:eastAsia="el"/>
        </w:rPr>
      </w:pPr>
      <w:r>
        <w:rPr>
          <w:b/>
          <w:bCs/>
          <w:lang w:val="el" w:eastAsia="el"/>
        </w:rPr>
        <w:t>1.</w:t>
      </w:r>
      <w:r>
        <w:rPr>
          <w:lang w:val="el" w:eastAsia="el"/>
        </w:rPr>
        <w:t xml:space="preserve"> Η διακοπή της συνεισφοράς Δημοσίου και η ανάκτηση ποσών από τον οφειλέτη επέρχεται σύμφωνα με τα προβλεπόμενα στα άρθρα 73 και 74 του ν. 4790/2021 (Α' 48). Μόλις συντρέξουν οι λόγοι που απαιτούν τη διακοπή της συνεισφοράς ή την ανάκτηση ποσών από τον οφειλέτη, εκ-δίδεται σχετική απόφαση από την Ειδική Γραμματεία Διαχείρισης Ιδιωτικού Χρέους του Υπουργείου Οικονομικών, η οποία διαβιβάζεται στον οφειλέτη, στην ΗΔΙΚΑ Α.Ε., καθώς και στους χρηματοδοτικούς φορείς που έχουν τις οφειλές για τις οποίες διακόπτεται ή αναζητείται η συνεισφορά. Στην απόφαση αυτή αναφέρονται, μεταξύ άλλων, η αιτία της διακοπής, το χρονικό διάστημα στο οποίο αφορά η οφειλή και το ποσό αυτής, μετά των αναλογούντων τόκων, σύμφωνα με τις προαναφερθείσες διατάξεις.</w:t>
      </w:r>
    </w:p>
    <w:p>
      <w:pPr>
        <w:pStyle w:val="MainText"/>
        <w:spacing w:before="120" w:after="0"/>
        <w:rPr>
          <w:lang w:val="el" w:eastAsia="el"/>
        </w:rPr>
      </w:pPr>
      <w:r>
        <w:rPr>
          <w:b/>
          <w:bCs/>
          <w:lang w:val="el" w:eastAsia="el"/>
        </w:rPr>
        <w:t>2.</w:t>
      </w:r>
      <w:r>
        <w:rPr>
          <w:lang w:val="el" w:eastAsia="el"/>
        </w:rPr>
        <w:t xml:space="preserve"> Στην περίπτωση της ανάκτησης ποσών από τον οφειλέτη, η ΕΓΔΙΧ διαβιβάζει την σχετική καταλογιστική απόφαση, την τριπλότυπη κατάσταση και τον χρηματικό κατάλογο στον διατάκτη για την σχετική έγκριση και με την επιστροφή της μεριμνά για την ανάκτηση, σύμφωνα με τα αναφερόμενα στα άρθρα 96 και 123 του ν. 4270/2014 (Α' 143) και του ν.δ. 356/1974 (Α' 90 - Κ.Ε.Δ.Ε.), στο βαθμό που δεν έρχονται σε αντίθεση με τις διατάξεις του αρ. 74 του ν. 4790/2021.</w:t>
      </w:r>
    </w:p>
    <w:p>
      <w:pPr>
        <w:pStyle w:val="MainText"/>
        <w:spacing w:before="120" w:after="0"/>
        <w:rPr>
          <w:lang w:val="el" w:eastAsia="el"/>
        </w:rPr>
      </w:pPr>
      <w:r>
        <w:rPr>
          <w:b/>
          <w:bCs/>
          <w:lang w:val="el" w:eastAsia="el"/>
        </w:rPr>
        <w:t>3.</w:t>
      </w:r>
      <w:r>
        <w:rPr>
          <w:lang w:val="el" w:eastAsia="el"/>
        </w:rPr>
        <w:t xml:space="preserve"> Τα ποσά καταβάλλονται απευθείας προς το Δημόσιο.</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Αρμόδια όργανα και υπηρεσίες</w:t>
      </w:r>
    </w:p>
    <w:p>
      <w:pPr>
        <w:pStyle w:val="MainText"/>
        <w:spacing w:before="120" w:after="0"/>
        <w:rPr>
          <w:lang w:val="el" w:eastAsia="el"/>
        </w:rPr>
      </w:pPr>
      <w:r>
        <w:rPr>
          <w:b/>
          <w:bCs/>
          <w:lang w:val="el" w:eastAsia="el"/>
        </w:rPr>
        <w:t>1.</w:t>
      </w:r>
      <w:r>
        <w:rPr>
          <w:lang w:val="el" w:eastAsia="el"/>
        </w:rPr>
        <w:t xml:space="preserve"> Η Διεύθυνση Οικονομικής Διαχείρισης της Γενικής Διεύθυνσης Οικονομικών Υπηρεσιών του Υπουργείου Οικονομικών, παραλαμβάνει τις προωθούμενες από την ΗΔΙΚΑ Α.Ε. συγκεντρωτικές και αναλυτικές καταστάσεις πληρωμής των μηνιαίων συνεισφορών. Η Ειδική Γραμματεία Διαχείρισης Ιδιωτικού Χρέους του Υπουργείου Οικονομικών (ΕΓΔΙΧ) είναι αρμόδια για τυχόν περιπτώσεις καταλογισμού και μεριμνά για την έκδοση καταλογιστικής απόφασης και των λοιπών απαραίτητων εγγράφων, με βάση τα σχετικά δικαιολογητικά, καθώς και τον χειρισμό τυχόν ενστάσεων, σύμφωνα με τα αναφερόμενα στο άρθρο 2 της παρούσης.</w:t>
      </w:r>
    </w:p>
    <w:p>
      <w:pPr>
        <w:pStyle w:val="MainText"/>
        <w:spacing w:before="120" w:after="0"/>
        <w:rPr>
          <w:lang w:val="el" w:eastAsia="el"/>
        </w:rPr>
      </w:pPr>
      <w:r>
        <w:rPr>
          <w:b/>
          <w:bCs/>
          <w:lang w:val="el" w:eastAsia="el"/>
        </w:rPr>
        <w:t>2.</w:t>
      </w:r>
      <w:r>
        <w:rPr>
          <w:lang w:val="el" w:eastAsia="el"/>
        </w:rPr>
        <w:t xml:space="preserve"> Η Ηλεκτρονική Πλατφόρμα του άρθρου 67 του ν. 4790/2021 λειτουργεί στη Γενική Γραμματεία Πληροφοριακών Συστημάτων και Δημόσιας Διοίκησης του Υπουργείου Ψηφιακής Διακυβέρνησης (ΓΓΠΣΔΔ), στις υποδομές της οποίας φιλοξενείται.</w:t>
      </w:r>
    </w:p>
    <w:p>
      <w:pPr>
        <w:pStyle w:val="MainText"/>
        <w:spacing w:before="120" w:after="0"/>
        <w:rPr>
          <w:lang w:val="el" w:eastAsia="el"/>
        </w:rPr>
      </w:pPr>
      <w:r>
        <w:rPr>
          <w:b/>
          <w:bCs/>
          <w:lang w:val="el" w:eastAsia="el"/>
        </w:rPr>
        <w:t>3.</w:t>
      </w:r>
      <w:r>
        <w:rPr>
          <w:lang w:val="el" w:eastAsia="el"/>
        </w:rPr>
        <w:t xml:space="preserve"> Η Ειδική Γραμματεία Διαχείρισης Ιδιωτικού χρέους, εγκρίνει ή ανακαλεί την απόφαση για τη χορήγηση Συνεισφοράς Δημοσίου, σύμφωνα με τα αναφερόμενα στο άρθρο 1 της παρούσας απόφασης.</w:t>
      </w:r>
    </w:p>
    <w:p>
      <w:pPr>
        <w:pStyle w:val="MainText"/>
        <w:spacing w:before="120" w:after="0"/>
        <w:rPr>
          <w:lang w:val="el" w:eastAsia="el"/>
        </w:rPr>
      </w:pPr>
      <w:r>
        <w:rPr>
          <w:b/>
          <w:bCs/>
          <w:lang w:val="el" w:eastAsia="el"/>
        </w:rPr>
        <w:t>4.</w:t>
      </w:r>
      <w:r>
        <w:rPr>
          <w:lang w:val="el" w:eastAsia="el"/>
        </w:rPr>
        <w:t xml:space="preserve"> Η ανώνυμη εταιρία Ηλεκτρονικής Διακυβέρνησης Κοινωνικής Ασφάλισης (ΗΔΙΚΑ Α.Ε.), τηρεί την Ηλεκτρονική Πλατφόρμα για την παρακολούθηση των στοιχείων των μηνιαίων συνεισφορών του Δημοσίου για κάθε δικαιούχο. Επίσης, η ΗΔΙΚΑ Α.Ε. είναι αρμόδια για την μηχανογραφική τήρηση αρχείου επί δέκα οικονομικά έτη από την ημερομηνία χορήγησης της τελευταίας μεμονωμένης ενίσχυσης δυνάμει της παρούσας.</w:t>
      </w:r>
    </w:p>
    <w:p>
      <w:pPr>
        <w:pStyle w:val="MainText"/>
        <w:spacing w:before="120" w:after="0"/>
        <w:rPr>
          <w:lang w:val="el" w:eastAsia="el"/>
        </w:rPr>
      </w:pPr>
      <w:r>
        <w:rPr>
          <w:b/>
          <w:bCs/>
          <w:lang w:val="el" w:eastAsia="el"/>
        </w:rPr>
        <w:t>5.</w:t>
      </w:r>
      <w:r>
        <w:rPr>
          <w:lang w:val="el" w:eastAsia="el"/>
        </w:rPr>
        <w:t xml:space="preserve"> Όλοι οι εμπλεκόμενοι φορείς λαμβάνουν τα απαιτούμενα τεχνικά και οργανωτικά μέτρα για τη διασφάλιση της προστασίας των δεδομένων των υποκειμένων, σε όλες τις επεξεργασίες που είναι απαραίτητες για τη διαδικασία ελέγχου των κριτηρίων χορήγησης της Συνεισφοράς Δημοσίου και της πληρωμής αυτής.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Υποχρέωση διαφάνειας</w:t>
      </w:r>
    </w:p>
    <w:p>
      <w:pPr>
        <w:pStyle w:val="MainText"/>
        <w:spacing w:before="120" w:after="0"/>
        <w:rPr>
          <w:lang w:val="el" w:eastAsia="el"/>
        </w:rPr>
      </w:pPr>
      <w:r>
        <w:rPr>
          <w:b/>
          <w:bCs/>
          <w:lang w:val="el" w:eastAsia="el"/>
        </w:rPr>
        <w:t>1.</w:t>
      </w:r>
      <w:r>
        <w:rPr>
          <w:lang w:val="el" w:eastAsia="el"/>
        </w:rPr>
        <w:t xml:space="preserve"> Οι ενισχύσεις που χορηγούνται δυνάμει του Προσωρινού Πλαισίου στο πλαίσιο της παρούσας αναρτώνται από την αρμόδια υπηρεσία στην εφαρμογή της ΕΕ για την διαφάνεια “Transparency Award Module” (ΤΑΜ), εντός ενός έτους από την χορήγησή τους, σύμφωνα με τα οριζόμενα στο σημείο 88 του Προσωρινού Πλαισίου και στο άρθρο 77 ν. 4790/2021 (Α' 48).</w:t>
      </w:r>
    </w:p>
    <w:p>
      <w:pPr>
        <w:pStyle w:val="MainText"/>
        <w:spacing w:before="120" w:after="0"/>
        <w:rPr>
          <w:lang w:val="el" w:eastAsia="el"/>
        </w:rPr>
      </w:pPr>
      <w:r>
        <w:rPr>
          <w:b/>
          <w:bCs/>
          <w:lang w:val="el" w:eastAsia="el"/>
        </w:rPr>
        <w:t>2.</w:t>
      </w:r>
      <w:r>
        <w:rPr>
          <w:lang w:val="el" w:eastAsia="el"/>
        </w:rPr>
        <w:t xml:space="preserve"> Με τη λήψη της ενίσχυσης τεκμαίρεται η συναίνεση του δικαιούχου - λήπτη της ενίσχυσης για τη δημοσιοποίηση των στοιχείων για την ενίσχυση που έλαβε.</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Ειδικότερα θέματα χρηματοδότησης</w:t>
      </w:r>
    </w:p>
    <w:p>
      <w:pPr>
        <w:pStyle w:val="MainText"/>
        <w:spacing w:before="120" w:after="0"/>
        <w:rPr>
          <w:lang w:val="el" w:eastAsia="el"/>
        </w:rPr>
      </w:pPr>
      <w:r>
        <w:rPr>
          <w:b/>
          <w:bCs/>
          <w:lang w:val="el" w:eastAsia="el"/>
        </w:rPr>
        <w:t>1.</w:t>
      </w:r>
      <w:r>
        <w:rPr>
          <w:lang w:val="el" w:eastAsia="el"/>
        </w:rPr>
        <w:t xml:space="preserve"> Η συνολική δημόσια δαπάνη της δράσης, ανέρχεται σε πεντακόσια εκατομμύρια (500.000.000) ευρώ. Η δράση θα χρηματοδοτηθεί από το συγχρηματοδοτούμενο σκέλος του Προγράμματος Δημοσίων Επενδύσεων (ΠΔΕ) του Υπουργείου Οικονομικών, ΣΑ051/2 και θα ενταχθεί, μετά την ολοκλήρωση των διαχειριστικών ενεργειών, σε Επιχειρησιακό Πρόγραμμα της προγραμματικής περιόδου 2021-2027, σύμφωνα με τους οικείους Κανονισμούς και το εθνικό θεσμικό και κανονιστικό πλαίσιο.</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Το ποσό της Συνεισφοράς του Δημοσίου, που θα χρηματοδοτηθεί από το ΕΠ και επιστρέφεται μετά την ολοκλήρωση της δράσης σε συγκεκριμένο για το σκοπό τραπεζικό λογαριασμό, χρησιμοποιείται για τον ίδιο σκοπό ή σύμφωνα με τους στόχους του επιχειρησιακού προγράμματος.</w:t>
      </w:r>
    </w:p>
    <w:p>
      <w:pPr>
        <w:pStyle w:val="MainText"/>
        <w:spacing w:before="120" w:after="0"/>
        <w:rPr>
          <w:lang w:val="el" w:eastAsia="el"/>
        </w:rPr>
      </w:pPr>
      <w:r>
        <w:rPr>
          <w:b/>
          <w:bCs/>
          <w:lang w:val="el" w:eastAsia="el"/>
        </w:rPr>
        <w:t>3.</w:t>
      </w:r>
      <w:r>
        <w:rPr>
          <w:lang w:val="el" w:eastAsia="el"/>
        </w:rPr>
        <w:t xml:space="preserve"> Δικαιούχος της δράσης, κατά την έννοια του Κανονισμού 1303/2013, είναι η Ειδική Γραμματεία Διαχείρισης Ιδιωτικού Χρέους. Η Ειδική Γραμματεία Διαχείρισης Ιδιωτικού Χρέους έχει τη γενική εποπτεία και την ευθύνη της διοικητικής υποστήριξης της δράσης. Επίσης, στο πλαίσιο των αρμοδιοτήτων της, αναλαμβάνει την υποχρέωση της συγκέντρωσης των δικαιολογητικών υλοποίησης της δράσης και της τήρησης όλων των παραστατικών, καθώς και της επιβεβαίωσης τήρησης των υποχρεώσεων των δικαιούχων της ενίσχυσης, αποκλειστικά και μόνο στη βάση παραστατικών και εγγράφων που της έχουν υποβληθεί από την ΗΔΙΚΑ Α.Ε. ή άλλο αρμόδιο φορέα, καθώς και το σύνολο των υποχρεώσεων Δικαιούχου, όπως ορίζονται από τους οικείους Κανονισμούς και το εθνικό θεσμικό και κανονιστικό πλαίσιο.</w:t>
      </w:r>
    </w:p>
    <w:p>
      <w:pPr>
        <w:spacing w:before="240" w:after="240"/>
        <w:rPr>
          <w:lang w:val="el" w:eastAsia="el"/>
        </w:rPr>
      </w:pPr>
      <w:r>
        <w:rPr>
          <w:lang w:val="el" w:eastAsia="el"/>
        </w:rPr>
        <w:t>Η Ειδική Γραμματεία Διαχείρισης Ιδιωτικού Χρέους θα παρέχει στην αρμόδια Διαχειριστική Αρχή και την Αρχή Πιστοποίησης όλα τα απαραίτητα στοιχεία για τη διασφάλιση επαρκούς διαδρομής ελέγχου.</w:t>
      </w:r>
    </w:p>
    <w:p>
      <w:pPr>
        <w:pStyle w:val="MainText"/>
        <w:spacing w:before="120" w:after="0"/>
        <w:rPr>
          <w:lang w:val="el" w:eastAsia="el"/>
        </w:rPr>
      </w:pPr>
      <w:r>
        <w:rPr>
          <w:b/>
          <w:bCs/>
          <w:lang w:val="el" w:eastAsia="el"/>
        </w:rPr>
        <w:t>4.</w:t>
      </w:r>
      <w:r>
        <w:rPr>
          <w:lang w:val="el" w:eastAsia="el"/>
        </w:rPr>
        <w:t xml:space="preserve"> Η ανωτέρω υπηρεσία υποχρεούται:</w:t>
      </w:r>
    </w:p>
    <w:p>
      <w:pPr>
        <w:pStyle w:val="StructureList1"/>
        <w:spacing w:before="120" w:after="0"/>
        <w:rPr>
          <w:lang w:val="el" w:eastAsia="el"/>
        </w:rPr>
      </w:pPr>
      <w:r>
        <w:rPr>
          <w:lang w:val="el" w:eastAsia="el"/>
        </w:rPr>
        <w:t>α)</w:t>
      </w:r>
      <w:r>
        <w:rPr>
          <w:lang w:val="en" w:eastAsia="en"/>
        </w:rPr>
        <w:tab/>
      </w:r>
      <w:r>
        <w:rPr>
          <w:lang w:val="el" w:eastAsia="el"/>
        </w:rPr>
        <w:t>να αποστέλλει στην οικεία Διαχειριστική Αρχή τις πληροφορίες που απαιτούνται για την ανάρτηση των ενισχύσεων που χορηγούνται βάσει του Προσωρινού Πλαισίου στο ΤΑΜ, κατά τα προβλεπόμενα στην παρ. 1 του άρθρου 10 της παρούσας, καθώς και τις πληροφορίες που απαιτούνται για την υποβολή των ετήσιων εκθέσεων στην Ευρωπαϊκή Επιτροπή κατά τα προβλεπόμενα στο σημείο 35 του Προσωρινού Πλαισίου,</w:t>
      </w:r>
    </w:p>
    <w:p>
      <w:pPr>
        <w:pStyle w:val="StructureList1"/>
        <w:spacing w:before="120" w:after="0"/>
        <w:rPr>
          <w:lang w:val="el" w:eastAsia="el"/>
        </w:rPr>
      </w:pPr>
      <w:r>
        <w:rPr>
          <w:lang w:val="el" w:eastAsia="el"/>
        </w:rPr>
        <w:t>β)</w:t>
      </w:r>
      <w:r>
        <w:rPr>
          <w:lang w:val="en" w:eastAsia="en"/>
        </w:rPr>
        <w:tab/>
      </w:r>
      <w:r>
        <w:rPr>
          <w:lang w:val="el" w:eastAsia="el"/>
        </w:rPr>
        <w:t>να τηρεί για δέκα (10) έτη λεπτομερή αρχεία όσον αφορά τη χορήγηση ενισχύσεων που εμπίπτουν στο πεδίο εφαρμογής της παρούσας απόφασης, τα οποία να περιλαμβάνουν όλα τα στοιχεία που είναι αναγκαία για να πιστοποιηθεί η τήρηση των προϋποθέσεων της παρούσας,</w:t>
      </w:r>
    </w:p>
    <w:p>
      <w:pPr>
        <w:pStyle w:val="StructureList1"/>
        <w:spacing w:before="120" w:after="0"/>
        <w:rPr>
          <w:lang w:val="el" w:eastAsia="el"/>
        </w:rPr>
      </w:pPr>
      <w:r>
        <w:rPr>
          <w:lang w:val="el" w:eastAsia="el"/>
        </w:rPr>
        <w:t>γ)</w:t>
      </w:r>
      <w:r>
        <w:rPr>
          <w:lang w:val="en" w:eastAsia="en"/>
        </w:rPr>
        <w:tab/>
      </w:r>
      <w:r>
        <w:rPr>
          <w:lang w:val="el" w:eastAsia="el"/>
        </w:rPr>
        <w:t>να προβαίνει σε οποιαδήποτε άλλη ενέργεια που προκύπτει εκ του ρόλου της ως «δικαιούχος» της δράσης, όπως αυτές περιγράφονται στην οικεία απόφαση ένταξης,</w:t>
      </w:r>
    </w:p>
    <w:p>
      <w:pPr>
        <w:pStyle w:val="StructureList1"/>
        <w:spacing w:before="120" w:after="0"/>
        <w:rPr>
          <w:lang w:val="el" w:eastAsia="el"/>
        </w:rPr>
      </w:pPr>
      <w:r>
        <w:rPr>
          <w:lang w:val="el" w:eastAsia="el"/>
        </w:rPr>
        <w:t>δ)</w:t>
      </w:r>
      <w:r>
        <w:rPr>
          <w:lang w:val="en" w:eastAsia="en"/>
        </w:rPr>
        <w:tab/>
      </w:r>
      <w:r>
        <w:rPr>
          <w:lang w:val="el" w:eastAsia="el"/>
        </w:rPr>
        <w:t>να διαβιβάζει στοιχεία που περιέχουν υπόνοια απάτης στις αρμόδιες αρχές, στο πλαίσιο της Εθνικής και Ευρωπαϊκής Πολιτικής για την καταπολέμηση της απάτης στις διαρθρωτικές δράσεις. Λεπτομερής αναφορά για την «Καταπολέμηση της απάτης στις διαρθρωτικές δράσεις» υπάρχει στην ιστοσελίδα του ΕΣΠΑ (www.espa.gr) και συγκεκριμένα στον σύνδεσμο https://www.espa.gr/el/Pages/staticAntiFraudPolicy.aspx.</w:t>
      </w:r>
    </w:p>
    <w:p>
      <w:pPr>
        <w:pStyle w:val="MainText"/>
        <w:spacing w:before="120" w:after="0"/>
        <w:rPr>
          <w:lang w:val="el" w:eastAsia="el"/>
        </w:rPr>
      </w:pPr>
      <w:r>
        <w:rPr>
          <w:b/>
          <w:bCs/>
          <w:lang w:val="el" w:eastAsia="el"/>
        </w:rPr>
        <w:t>5.</w:t>
      </w:r>
      <w:r>
        <w:rPr>
          <w:lang w:val="el" w:eastAsia="el"/>
        </w:rPr>
        <w:t xml:space="preserve"> Η ΗΔΙΚΑ Α.Ε υποχρεούται να θέτει στη διάθεση της Ειδικής Γραμματείας Διαχείρισης Ιδιωτικού Χρέους κάθε πληροφορία σχετική με την εφαρμογή της παρούσας απόφασης.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παρούσα απόφαση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22 Ιουνίου 2021</w:t>
      </w:r>
    </w:p>
    <w:p>
      <w:pPr>
        <w:spacing w:before="240" w:after="240"/>
        <w:rPr>
          <w:lang w:val="el" w:eastAsia="el"/>
        </w:rPr>
      </w:pPr>
      <w:r>
        <w:rPr>
          <w:lang w:val="el" w:eastAsia="el"/>
        </w:rPr>
        <w:t>Οι Υπουργοί</w:t>
      </w:r>
    </w:p>
    <w:p>
      <w:pPr>
        <w:spacing w:before="240" w:after="240"/>
        <w:rPr>
          <w:lang w:val="el" w:eastAsia="el"/>
        </w:rPr>
      </w:pPr>
      <w:r>
        <w:rPr>
          <w:lang w:val="el" w:eastAsia="el"/>
        </w:rPr>
        <w:t>Οικονομικών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ΘΕΟΔΩΡΟΣ ΣΚΥΛΑΚΑΚΗΣ</w:t>
      </w:r>
    </w:p>
    <w:p>
      <w:pPr>
        <w:spacing w:before="240" w:after="240"/>
        <w:rPr>
          <w:lang w:val="el" w:eastAsia="el"/>
        </w:rPr>
      </w:pPr>
      <w:r>
        <w:rPr>
          <w:lang w:val="el" w:eastAsia="el"/>
        </w:rPr>
        <w:t>Υφυπουργός Ανάπτυξης και Επενδύσεων</w:t>
      </w:r>
    </w:p>
    <w:p>
      <w:pPr>
        <w:spacing w:before="240" w:after="240"/>
        <w:rPr>
          <w:lang w:val="el" w:eastAsia="el"/>
        </w:rPr>
      </w:pPr>
      <w:r>
        <w:rPr>
          <w:lang w:val="el" w:eastAsia="el"/>
        </w:rPr>
        <w:t>ΙΩΑΝΝΗΣ ΤΣΑΚΙΡΗΣ</w:t>
      </w:r>
    </w:p>
    <w:p>
      <w:pPr>
        <w:spacing w:before="240" w:after="240"/>
        <w:rPr>
          <w:lang w:val="el" w:eastAsia="el"/>
        </w:rPr>
      </w:pPr>
      <w:r>
        <w:rPr>
          <w:lang w:val="el" w:eastAsia="el"/>
        </w:rPr>
        <w:t>Εργασίας και Κοινωνικών Υποθέσεων</w:t>
      </w:r>
    </w:p>
    <w:p>
      <w:pPr>
        <w:spacing w:before="240" w:after="240"/>
        <w:rPr>
          <w:lang w:val="el" w:eastAsia="el"/>
        </w:rPr>
      </w:pPr>
      <w:r>
        <w:rPr>
          <w:lang w:val="el" w:eastAsia="el"/>
        </w:rPr>
        <w:t>ΚΩΝΣΤΑΝΤΙΝΟΣ ΧΑΤΖΗΔΑΚΗΣ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96039 ΕΞ 2021 04.08.2021</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96039 ΕΞ 2021 04.08.2021</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22734 ΕΞ 2022 21.02.2022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