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lang w:val="el" w:eastAsia="el"/>
        </w:rPr>
        <w:t>■ ΛΑΔΕ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Δ/ΝΣΗ ΤΕΛΩΝΕΙΑΚΩΝ ΔΙΑΔΙΚΑΣΙΩΝ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Δ/ΝΣΗ ΕΦΚ &amp;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 xml:space="preserve">3. </w:t>
      </w:r>
      <w:r>
        <w:rPr>
          <w:b/>
          <w:bCs/>
          <w:lang w:val="el" w:eastAsia="el"/>
        </w:rPr>
        <w:t>Δ/ΝΣΗ ΣΤΡΑΤΗΓΙΚΗΣ ΤΕΛΩΝΕΙΑΚΩΝ</w:t>
      </w:r>
    </w:p>
    <w:p>
      <w:pPr>
        <w:spacing w:before="240" w:after="240"/>
        <w:rPr>
          <w:lang w:val="el" w:eastAsia="el"/>
        </w:rPr>
      </w:pPr>
      <w:r>
        <w:rPr>
          <w:b/>
          <w:bCs/>
          <w:lang w:val="el" w:eastAsia="el"/>
        </w:rPr>
        <w:t>ΕΛΕΓΧΩN ΚΑΙ ΠΑΡΑΒΑΣΕΩΝ</w:t>
      </w:r>
    </w:p>
    <w:p>
      <w:pPr>
        <w:spacing w:before="240" w:after="240"/>
        <w:rPr>
          <w:lang w:val="el" w:eastAsia="el"/>
        </w:rPr>
      </w:pPr>
      <w:r>
        <w:rPr>
          <w:b/>
          <w:bCs/>
          <w:lang w:val="el" w:eastAsia="el"/>
        </w:rPr>
        <w:t>ΤΜΗΜΑΤΑ Γ΄ - Δ΄</w:t>
      </w:r>
    </w:p>
    <w:p>
      <w:pPr>
        <w:spacing w:before="240" w:after="240"/>
        <w:rPr>
          <w:lang w:val="el" w:eastAsia="el"/>
        </w:rPr>
      </w:pPr>
      <w:r>
        <w:rPr>
          <w:b/>
          <w:bCs/>
          <w:u w:val="single"/>
          <w:lang w:val="el" w:eastAsia="el"/>
        </w:rPr>
        <w:t>ΕΞΑΙΡ. ΕΠΕΙΓΟΝ</w:t>
      </w:r>
    </w:p>
    <w:p>
      <w:pPr>
        <w:spacing w:before="240" w:after="240"/>
        <w:rPr>
          <w:lang w:val="el" w:eastAsia="el"/>
        </w:rPr>
      </w:pPr>
      <w:r>
        <w:rPr>
          <w:b/>
          <w:bCs/>
          <w:u w:val="single"/>
          <w:lang w:val="el" w:eastAsia="el"/>
        </w:rPr>
        <w:t>ΑΝΑΡΤΗΤΕΑ ΣΤΟ ΔΙΑΔΙΚΤΥΟ</w:t>
      </w:r>
    </w:p>
    <w:p>
      <w:pPr>
        <w:spacing w:before="240" w:after="240"/>
        <w:rPr>
          <w:lang w:val="el" w:eastAsia="el"/>
        </w:rPr>
      </w:pPr>
      <w:r>
        <w:rPr>
          <w:lang w:val="el" w:eastAsia="el"/>
        </w:rPr>
        <w:t>ΑΔΑ:Ψ7Ν946ΜΠ3Ζ-ΚΩ6</w:t>
      </w:r>
    </w:p>
    <w:p>
      <w:pPr>
        <w:spacing w:before="240" w:after="240"/>
        <w:rPr>
          <w:lang w:val="el" w:eastAsia="el"/>
        </w:rPr>
      </w:pPr>
      <w:r>
        <w:rPr>
          <w:lang w:val="el" w:eastAsia="el"/>
        </w:rPr>
        <w:t>ΦΕΚ:2853 Β 01/07/2021 - 00:00</w:t>
      </w:r>
    </w:p>
    <w:p>
      <w:pPr>
        <w:spacing w:before="240" w:after="240"/>
        <w:rPr>
          <w:lang w:val="el" w:eastAsia="el"/>
        </w:rPr>
      </w:pPr>
      <w:r>
        <w:rPr>
          <w:lang w:val="el" w:eastAsia="el"/>
        </w:rPr>
        <w:t>Αθήνα, 24-06- 2021</w:t>
      </w:r>
    </w:p>
    <w:p>
      <w:pPr>
        <w:spacing w:before="240" w:after="240"/>
        <w:rPr>
          <w:lang w:val="el" w:eastAsia="el"/>
        </w:rPr>
      </w:pPr>
      <w:r>
        <w:rPr>
          <w:lang w:val="el" w:eastAsia="el"/>
        </w:rPr>
        <w:t>Αρ.Πρωτ.: Α.1146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5"/>
        <w:gridCol w:w="67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 Σερβίας 10 ΠΡΟΣ</w:t>
            </w:r>
          </w:p>
          <w:p>
            <w:pPr>
              <w:spacing w:before="240"/>
              <w:rPr>
                <w:b w:val="0"/>
                <w:bCs w:val="0"/>
                <w:i w:val="0"/>
                <w:iCs w:val="0"/>
                <w:smallCaps w:val="0"/>
                <w:color w:val="000000"/>
                <w:lang w:val="el" w:eastAsia="el"/>
              </w:rPr>
            </w:pPr>
            <w:r>
              <w:rPr>
                <w:b w:val="0"/>
                <w:bCs w:val="0"/>
                <w:i w:val="0"/>
                <w:iCs w:val="0"/>
                <w:smallCaps w:val="0"/>
                <w:color w:val="000000"/>
                <w:lang w:val="el" w:eastAsia="el"/>
              </w:rPr>
              <w:t>101 84 ΑΘΗΝΑ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Κουλούρης, Χ. Χατζηαναστασίου Χρ. Μπιλανάκος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210-6987421,210-7259326,</w:t>
            </w:r>
          </w:p>
          <w:p>
            <w:pPr>
              <w:spacing w:before="240"/>
              <w:rPr>
                <w:b w:val="0"/>
                <w:bCs w:val="0"/>
                <w:i w:val="0"/>
                <w:iCs w:val="0"/>
                <w:smallCaps w:val="0"/>
                <w:color w:val="000000"/>
                <w:lang w:val="el" w:eastAsia="el"/>
              </w:rPr>
            </w:pPr>
            <w:r>
              <w:rPr>
                <w:b w:val="0"/>
                <w:bCs w:val="0"/>
                <w:i w:val="0"/>
                <w:iCs w:val="0"/>
                <w:smallCaps w:val="0"/>
                <w:color w:val="000000"/>
                <w:lang w:val="el" w:eastAsia="el"/>
              </w:rPr>
              <w:t>210-6987433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finexccis@aade.gr</w:t>
              </w:r>
            </w:hyperlink>
            <w:hyperlink r:id="rId5" w:history="1">
              <w:r>
                <w:rPr>
                  <w:rStyle w:val="Hyperlink"/>
                  <w:b w:val="0"/>
                  <w:bCs w:val="0"/>
                  <w:i w:val="0"/>
                  <w:iCs w:val="0"/>
                  <w:smallCaps w:val="0"/>
                  <w:color w:val="0000EE"/>
                  <w:u w:color="0000EE"/>
                  <w:lang w:val="el" w:eastAsia="el"/>
                </w:rPr>
                <w:t>dstep@aade.gr</w:t>
              </w:r>
            </w:hyperlink>
            <w:hyperlink r:id="rId6" w:history="1">
              <w:r>
                <w:rPr>
                  <w:rStyle w:val="Hyperlink"/>
                  <w:b w:val="0"/>
                  <w:bCs w:val="0"/>
                  <w:i w:val="0"/>
                  <w:iCs w:val="0"/>
                  <w:smallCaps w:val="0"/>
                  <w:color w:val="0000EE"/>
                  <w:u w:color="0000EE"/>
                  <w:lang w:val="el" w:eastAsia="el"/>
                </w:rPr>
                <w:t xml:space="preserve">dtd </w:t>
              </w:r>
              <w:r>
                <w:rPr>
                  <w:rStyle w:val="Hyperlink"/>
                  <w:b w:val="0"/>
                  <w:bCs w:val="0"/>
                  <w:i w:val="0"/>
                  <w:iCs w:val="0"/>
                  <w:smallCaps w:val="0"/>
                  <w:color w:val="0000EE"/>
                  <w:u w:color="0000EE"/>
                  <w:lang w:val="el" w:eastAsia="el"/>
                </w:rPr>
                <w:t xml:space="preserve">@ </w:t>
              </w:r>
              <w:r>
                <w:rPr>
                  <w:rStyle w:val="Hyperlink"/>
                  <w:b w:val="0"/>
                  <w:bCs w:val="0"/>
                  <w:i w:val="0"/>
                  <w:iCs w:val="0"/>
                  <w:smallCaps w:val="0"/>
                  <w:color w:val="0000EE"/>
                  <w:u w:color="0000EE"/>
                  <w:lang w:val="el" w:eastAsia="el"/>
                </w:rPr>
                <w:t>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ΩΣ ΠΙΝΑΚΑΣ ΔΙΑΝΟΜΗΣ</w:t>
      </w:r>
    </w:p>
    <w:p>
      <w:pPr>
        <w:spacing w:before="240" w:after="240"/>
        <w:rPr>
          <w:lang w:val="el" w:eastAsia="el"/>
        </w:rPr>
      </w:pPr>
      <w:r>
        <w:rPr>
          <w:lang w:val="el" w:eastAsia="el"/>
        </w:rPr>
        <w:t xml:space="preserve">ΘΕΜΑ : </w:t>
      </w:r>
      <w:r>
        <w:rPr>
          <w:b/>
          <w:bCs/>
          <w:lang w:val="el" w:eastAsia="el"/>
        </w:rPr>
        <w:t>«Καθορισμός των διαδικασιών παρακολούθησης και ελέγχου της τήρησης των προϋποθέσεων της παρ. 1 του άρθρου 112Α του ν.2960/2001 για τη διακίνηση μέσω βυτιοφόρων οχημάτων, ενεργειακών προϊόντων υπό καθεστώς αναστολής των φορολογικών επιβαρύνσεων, τα οποία προορίζονται για εξαγωγή.»</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περ. α) έως ιβ) της παρ. 1 του άρθρου 73, καθώς και του άρθρου 112Α του Εθνικού Τελωνειακού Κώδικα (ν.2960/2001, Α΄265), το οποίο προστέθηκε με το άρθρο 63 του ν. 4758/2020 (Α΄242),</w:t>
      </w:r>
    </w:p>
    <w:p>
      <w:pPr>
        <w:pStyle w:val="StructureList1"/>
        <w:spacing w:before="120" w:after="0"/>
        <w:rPr>
          <w:lang w:val="el" w:eastAsia="el"/>
        </w:rPr>
      </w:pPr>
      <w:r>
        <w:rPr>
          <w:lang w:val="el" w:eastAsia="el"/>
        </w:rPr>
        <w:t>β)</w:t>
      </w:r>
      <w:r>
        <w:rPr>
          <w:lang w:val="en" w:eastAsia="en"/>
        </w:rPr>
        <w:tab/>
      </w:r>
      <w:r>
        <w:rPr>
          <w:lang w:val="el" w:eastAsia="el"/>
        </w:rPr>
        <w:t>της παρ.4 του άρθρου 69 του ν. 4758/2020 «Περιστολή του λαθρεμπορίου-Κύρωση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(Α΄242),</w:t>
      </w:r>
    </w:p>
    <w:p>
      <w:pPr>
        <w:pStyle w:val="StructureList1"/>
        <w:spacing w:before="120" w:after="0"/>
        <w:rPr>
          <w:lang w:val="el" w:eastAsia="el"/>
        </w:rPr>
      </w:pPr>
      <w:r>
        <w:rPr>
          <w:lang w:val="el" w:eastAsia="el"/>
        </w:rPr>
        <w:t>γ)</w:t>
      </w:r>
      <w:r>
        <w:rPr>
          <w:lang w:val="en" w:eastAsia="en"/>
        </w:rPr>
        <w:tab/>
      </w:r>
      <w:r>
        <w:rPr>
          <w:lang w:val="el" w:eastAsia="el"/>
        </w:rPr>
        <w:t>του Κεφ.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της παρ. 1 του άρθρου 7, του άρθρου 14 και του άρθρου 41 αυτού, όπως ισχύουν,</w:t>
      </w:r>
    </w:p>
    <w:p>
      <w:pPr>
        <w:pStyle w:val="StructureList1"/>
        <w:spacing w:before="120" w:after="0"/>
        <w:rPr>
          <w:lang w:val="el" w:eastAsia="el"/>
        </w:rPr>
      </w:pPr>
      <w:r>
        <w:rPr>
          <w:lang w:val="el" w:eastAsia="el"/>
        </w:rPr>
        <w:t>δ)</w:t>
      </w:r>
      <w:r>
        <w:rPr>
          <w:lang w:val="en" w:eastAsia="en"/>
        </w:rPr>
        <w:tab/>
      </w:r>
      <w:r>
        <w:rPr>
          <w:lang w:val="el" w:eastAsia="el"/>
        </w:rPr>
        <w:t>των παρ. 2, 3 και 4 του άρθρου 96 της με αριθ. 91354/2017 Απόφασης του Υπουργού Ανάπτυξης &amp; Ανταγωνιστικότητας «Κωδικοποίηση Κανόνων Διακίνησης και Εμπορίας Προϊόντων και Παροχής Υπηρεσιών (Κανόνες ΔΙ.Ε.Π.Π.Υ.)» (Β΄2983),</w:t>
      </w:r>
    </w:p>
    <w:p>
      <w:pPr>
        <w:pStyle w:val="StructureList1"/>
        <w:spacing w:before="120" w:after="0"/>
        <w:rPr>
          <w:lang w:val="el" w:eastAsia="el"/>
        </w:rPr>
      </w:pPr>
      <w:r>
        <w:rPr>
          <w:lang w:val="el" w:eastAsia="el"/>
        </w:rPr>
        <w:t>ε)</w:t>
      </w:r>
      <w:r>
        <w:rPr>
          <w:lang w:val="en" w:eastAsia="en"/>
        </w:rPr>
        <w:tab/>
      </w:r>
      <w:r>
        <w:rPr>
          <w:lang w:val="el" w:eastAsia="el"/>
        </w:rPr>
        <w:t>της υπ’ αρ. 1 της 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(Α΄94), όπως ισχύουν, της υπ’ αρ. 39/3/30-11-2017 απόφασης του Συμβουλίου Διοίκησης της Α.Α.Δ.Ε. «Ανανέωση θητείας του Διοικητή της Ανεξάρτητης Αρχής Δημοσίων Εσόδων » (Υ.Ο.Δ.Δ.689) και της υπ’ αρ. 5294 ΕΞ2020/17-1-2020 απόφασης του Υπουργού Οικονομικών «Ανανέωση της θητείας του Διοικητή της Ανεξάρτητης Αρχής Δημοσίων Εσόδων» (Υ.Ο.Δ.Δ.27),</w:t>
      </w:r>
    </w:p>
    <w:p>
      <w:pPr>
        <w:pStyle w:val="StructureList1"/>
        <w:spacing w:before="120" w:after="0"/>
        <w:rPr>
          <w:lang w:val="el" w:eastAsia="el"/>
        </w:rPr>
      </w:pPr>
      <w:r>
        <w:rPr>
          <w:lang w:val="el" w:eastAsia="el"/>
        </w:rPr>
        <w:t>στ)</w:t>
      </w:r>
      <w:r>
        <w:rPr>
          <w:lang w:val="en" w:eastAsia="en"/>
        </w:rPr>
        <w:tab/>
      </w:r>
      <w:r>
        <w:rPr>
          <w:lang w:val="el" w:eastAsia="el"/>
        </w:rPr>
        <w:t>της υπό στοιχεία Δ6Α 1015213 ΕΞ 2013/28-1-2013 κοινής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τροποποιήθηκε και ισχύει, σε συνδυασμό με τις διατάξεις της α) της παρ. 3 και της παρ. 10 του άρθρου 41 του ν. 4389/2016 (Α' 94),</w:t>
      </w:r>
    </w:p>
    <w:p>
      <w:pPr>
        <w:pStyle w:val="StructureList1"/>
        <w:spacing w:before="120" w:after="0"/>
        <w:rPr>
          <w:lang w:val="el" w:eastAsia="el"/>
        </w:rPr>
      </w:pPr>
      <w:r>
        <w:rPr>
          <w:lang w:val="el" w:eastAsia="el"/>
        </w:rPr>
        <w:t>ζ)</w:t>
      </w:r>
      <w:r>
        <w:rPr>
          <w:lang w:val="en" w:eastAsia="en"/>
        </w:rPr>
        <w:tab/>
      </w:r>
      <w:r>
        <w:rPr>
          <w:lang w:val="el" w:eastAsia="el"/>
        </w:rPr>
        <w:t>της υπό στοιχεία Δ ΟΡΓ.Α 1125859 ΕΞ2020/23-10-2020 απόφασης του Διοικητή της Ανεξάρτητης Αρχής Δημοσίων Εσόδων «Οργανισμός της Ανεξάρτητης Αρχής Δημοσίων Εσόδων» (Β΄4738), όπως ισχύει,</w:t>
      </w:r>
    </w:p>
    <w:p>
      <w:pPr>
        <w:spacing w:before="240" w:after="240"/>
        <w:rPr>
          <w:lang w:val="el" w:eastAsia="el"/>
        </w:rPr>
      </w:pPr>
      <w:r>
        <w:rPr>
          <w:lang w:val="el" w:eastAsia="el"/>
        </w:rPr>
        <w:t>2. Την ανάγκη: α) καθορισμού της διαδικασίας παρακολούθησης και ελέγχου των μεταφερόμενων, μέσω βυτιοφόρων οχημάτων, ποσοτήτων ενεργειακών προϊόντων τα οποία τελούν υπό καθεστώς αναστολής των φορολογικών επιβαρύνσεων και προορίζονται για εξαγωγή σε τρίτες χώρες και β) προετοιμασίας των οικονομικών φορέων ώστε να ανταποκριθούν στις υποχρεώσεις που τίθενται με το άρθρο 112Α του Εθνικού Τελωνειακού Κώδικας (ν.2960/2001, Α΄265), το οποίο προστέθηκε με το άρθρο 63 του ν.4758/2020 (Α΄242).</w:t>
      </w:r>
    </w:p>
    <w:p>
      <w:pPr>
        <w:spacing w:before="240" w:after="240"/>
        <w:rPr>
          <w:lang w:val="el" w:eastAsia="el"/>
        </w:rPr>
      </w:pPr>
      <w:r>
        <w:rPr>
          <w:lang w:val="el" w:eastAsia="el"/>
        </w:rPr>
        <w:t>3.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lang w:val="el" w:eastAsia="el"/>
        </w:rPr>
        <w:t>Α π ο φ α σ ί ζ ο υ μ ε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την παρούσα απόφαση: α)καθορίζονται οι διαδικασίες παρακολούθησης και ελέγχου τήρησης των προϋποθέσεων της παρ. 1 του άρθρου 112Α του ν.2960/2001 για την διακίνηση μέσω βυτιοφόρων οχημάτων, υποκείμενων σε Ειδικό Φόρο Κατανάλωσης ενεργειακών προϊόντων των περ. α) έως ιβ) της παρ. 1 του άρθρου 73 του ως άνω νόμου, τα οποία προορίζονται για εξαγωγή, τα σημεία σφράγισης, τα χαρακτηριστικά των σφραγίδων καθώς και τα συνοδευτικά έγγραφα τα οποία φέρουν υποχρεωτικά τα στοιχεία των σφραγίδων και β) παρατείνεται η ημερομηνία έναρξης ισχύος του άρθρου 63 του ν.4758/2020(Α΄242) (με το οποίο προστέθηκε το άρθρο 112 Α στο ν. 2960/2001), βάσει του δεύτερου εδαφίου της παρ. 4 του άρθρου 69 του ίδιου νόμου.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Διαδικασίες παρακολούθησης και ελέγχου</w:t>
      </w:r>
    </w:p>
    <w:p>
      <w:pPr>
        <w:pStyle w:val="MainText"/>
        <w:spacing w:before="120" w:after="0"/>
        <w:rPr>
          <w:lang w:val="el" w:eastAsia="el"/>
        </w:rPr>
      </w:pPr>
      <w:r>
        <w:rPr>
          <w:b/>
          <w:bCs/>
          <w:lang w:val="el" w:eastAsia="el"/>
        </w:rPr>
        <w:t>1.</w:t>
      </w:r>
      <w:r>
        <w:rPr>
          <w:lang w:val="el" w:eastAsia="el"/>
        </w:rPr>
        <w:t xml:space="preserve"> Οι εγκεκριμένοι αποθηκευτές του άρθρου 55 του ν.2960/01 (Α’265) οι οποίοι πραγματοποιούν εξαγωγές των προϊόντων των περ. α) έως ιβ) της παρ. 1 του άρθρου 73 του ως άνω νόμου, με βυτιοφόρα οχήματα, υποχρεούνται να τηρούν σωρευτικά τις ακόλουθες προϋποθέσεις της παραγράφου 1 του άρθρου 112Α του ν.2960/2001, με την επιφύλαξη της παραγράφου 4, του παρόντος άρθρου. Ειδικότερα, θα πρέπει :</w:t>
      </w:r>
    </w:p>
    <w:p>
      <w:pPr>
        <w:pStyle w:val="StructureList1"/>
        <w:spacing w:before="120" w:after="0"/>
        <w:rPr>
          <w:lang w:val="el" w:eastAsia="el"/>
        </w:rPr>
      </w:pPr>
      <w:r>
        <w:rPr>
          <w:lang w:val="el" w:eastAsia="el"/>
        </w:rPr>
        <w:t>α)</w:t>
      </w:r>
      <w:r>
        <w:rPr>
          <w:lang w:val="en" w:eastAsia="en"/>
        </w:rPr>
        <w:tab/>
      </w:r>
      <w:r>
        <w:rPr>
          <w:lang w:val="el" w:eastAsia="el"/>
        </w:rPr>
        <w:t>τα διαμερίσματα των δεξαμενών των βυτιοφόρων οχημάτων να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lang w:val="el" w:eastAsia="el"/>
        </w:rPr>
        <w:t>β)</w:t>
      </w:r>
      <w:r>
        <w:rPr>
          <w:lang w:val="en" w:eastAsia="en"/>
        </w:rPr>
        <w:tab/>
      </w:r>
      <w:r>
        <w:rPr>
          <w:lang w:val="el" w:eastAsia="el"/>
        </w:rPr>
        <w:t>τα βυτιοφόρα οχήματα να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σε συνδυασμό με τα άρθρα 30 και 31 του ν. 4608/2019 (Α΄ 66),</w:t>
      </w:r>
    </w:p>
    <w:p>
      <w:pPr>
        <w:pStyle w:val="StructureList1"/>
        <w:spacing w:before="120" w:after="0"/>
        <w:rPr>
          <w:lang w:val="el" w:eastAsia="el"/>
        </w:rPr>
      </w:pPr>
      <w:r>
        <w:rPr>
          <w:lang w:val="el" w:eastAsia="el"/>
        </w:rPr>
        <w:t>γ)</w:t>
      </w:r>
      <w:r>
        <w:rPr>
          <w:lang w:val="en" w:eastAsia="en"/>
        </w:rPr>
        <w:tab/>
      </w:r>
      <w:r>
        <w:rPr>
          <w:lang w:val="el" w:eastAsia="el"/>
        </w:rPr>
        <w:t>τα βυτιοφόρα οχήματα να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lang w:val="el" w:eastAsia="el"/>
        </w:rPr>
        <w:t xml:space="preserve"> Ως προς τα σημεία σφράγισης των βυτιοφόρων και τα χαρακτηριστικά των εταιρικών σφραγίδων εφαρμόζονται αναλογικά τα όσα ορίζονται στις παρ. 2, 3 και 4 αντίστοιχα του άρθρου 96 της αριθμ. 91354/2017 Απόφασης του Υπουργού Ανάπτυξης και Ανταγωνιστικότητας (Β' 2983).</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τα σημεία σφράγισης είναι τα στόμια πλήρωσης των διαμερισμάτων του βυτιοφόρου, οι ανθρωποθυρίδες και οι αντίστοιχοι κρουνοί εκροής.</w:t>
      </w:r>
    </w:p>
    <w:p>
      <w:pPr>
        <w:spacing w:before="240" w:after="240"/>
        <w:rPr>
          <w:lang w:val="el" w:eastAsia="el"/>
        </w:rPr>
      </w:pPr>
      <w:r>
        <w:rPr>
          <w:lang w:val="el" w:eastAsia="el"/>
        </w:rPr>
        <w:t>β)Για τη σφράγιση χρησιμοποιούνται σφραγίδες μιας χρήσεως, εντελώς διακριτές από εκείνες που χρησιμοποιούνται για τη σφράγιση των διατάξεων ρύθμισης του όγκου των αντλιών και των δειγμάτων καυσίμων, με τα εξής χαρακτηριστικά:</w:t>
      </w:r>
    </w:p>
    <w:p>
      <w:pPr>
        <w:pStyle w:val="MainText"/>
        <w:spacing w:before="120" w:after="0"/>
        <w:rPr>
          <w:lang w:val="el" w:eastAsia="el"/>
        </w:rPr>
      </w:pPr>
      <w:r>
        <w:rPr>
          <w:b/>
          <w:bCs/>
          <w:lang w:val="el" w:eastAsia="el"/>
        </w:rPr>
        <w:t>1.</w:t>
      </w:r>
      <w:r>
        <w:rPr>
          <w:lang w:val="el" w:eastAsia="el"/>
        </w:rPr>
        <w:t xml:space="preserve"> Υλικό κατασκευής εξ' ολοκλήρου από πλαστικό ή μεταλλικό υλικό ή συνδυασμό τούτων.</w:t>
      </w:r>
    </w:p>
    <w:p>
      <w:pPr>
        <w:pStyle w:val="MainText"/>
        <w:spacing w:before="120" w:after="0"/>
        <w:rPr>
          <w:lang w:val="el" w:eastAsia="el"/>
        </w:rPr>
      </w:pPr>
      <w:r>
        <w:rPr>
          <w:b/>
          <w:bCs/>
          <w:lang w:val="el" w:eastAsia="el"/>
        </w:rPr>
        <w:t>2.</w:t>
      </w:r>
      <w:r>
        <w:rPr>
          <w:lang w:val="el" w:eastAsia="el"/>
        </w:rPr>
        <w:t xml:space="preserve"> Έμβλημα ή σήμα ή επιγραφή του κυρίου του προϊόντος.</w:t>
      </w:r>
    </w:p>
    <w:p>
      <w:pPr>
        <w:pStyle w:val="MainText"/>
        <w:spacing w:before="120" w:after="0"/>
        <w:rPr>
          <w:lang w:val="el" w:eastAsia="el"/>
        </w:rPr>
      </w:pPr>
      <w:r>
        <w:rPr>
          <w:b/>
          <w:bCs/>
          <w:lang w:val="el" w:eastAsia="el"/>
        </w:rPr>
        <w:t>3.</w:t>
      </w:r>
      <w:r>
        <w:rPr>
          <w:lang w:val="el" w:eastAsia="el"/>
        </w:rPr>
        <w:t xml:space="preserve"> Κωδικό: κάθε σφραγίδα θα είναι ανεξίτηλα αριθμημένη με έναν εξαψήφιο τουλάχιστον αριθμό.</w:t>
      </w:r>
    </w:p>
    <w:p>
      <w:pPr>
        <w:pStyle w:val="MainText"/>
        <w:spacing w:before="120" w:after="0"/>
        <w:rPr>
          <w:lang w:val="el" w:eastAsia="el"/>
        </w:rPr>
      </w:pPr>
      <w:r>
        <w:rPr>
          <w:b/>
          <w:bCs/>
          <w:lang w:val="el" w:eastAsia="el"/>
        </w:rPr>
        <w:t>4.</w:t>
      </w:r>
      <w:r>
        <w:rPr>
          <w:lang w:val="el" w:eastAsia="el"/>
        </w:rPr>
        <w:t xml:space="preserve"> Λειτουργία: κάθε σφραγίδα θα είναι κατασκευασμένη ώστε η αποσφράγισή της να γίνεται μόνο με καταστροφή της (μίας χρήσεως) ώστε να εξασφαλίζεται το απαραβίαστο.</w:t>
      </w:r>
    </w:p>
    <w:p>
      <w:pPr>
        <w:spacing w:before="240" w:after="240"/>
        <w:rPr>
          <w:lang w:val="el" w:eastAsia="el"/>
        </w:rPr>
      </w:pPr>
      <w:r>
        <w:rPr>
          <w:lang w:val="el" w:eastAsia="el"/>
        </w:rPr>
        <w:t>Για τις παραπάνω σφραγίσεις δύναται να χρησιμοποιηθούν και διατάξεις σφράγισης άλλης τεχνολογίας, που εξασφαλίζουν ισοδύναμο αποτέλεσμα.</w:t>
      </w:r>
    </w:p>
    <w:p>
      <w:pPr>
        <w:pStyle w:val="MainText"/>
        <w:spacing w:before="120" w:after="0"/>
        <w:rPr>
          <w:lang w:val="el" w:eastAsia="el"/>
        </w:rPr>
      </w:pPr>
      <w:r>
        <w:rPr>
          <w:b/>
          <w:bCs/>
          <w:lang w:val="el" w:eastAsia="el"/>
        </w:rPr>
        <w:t>3.</w:t>
      </w:r>
      <w:r>
        <w:rPr>
          <w:lang w:val="el" w:eastAsia="el"/>
        </w:rPr>
        <w:t xml:space="preserve"> Οι αριθμοί των σφραγίδων που τίθενται στο βυτιοφόρο όχημα, αναγράφονται στα παραστατικά στοιχεία διακίνησης ή τα τιμολόγια πώλησης που εκδίδονται για τις σχετικές διακινήσεις των αγαθών και στην άδεια παραλαβής των εμπορευμάτων για εξαγωγή (Συνοδευτικό Έγγραφο Εξαγωγής –Σ.Ε.Ε.) που συνοδεύει την αποστολή μέχρι το τελωνείο εξόδου ώστε να καθίσταται δυνατός ο έλεγχος επαλήθευσης των στοιχείων τους από το τελωνείο εξόδου.</w:t>
      </w:r>
    </w:p>
    <w:p>
      <w:pPr>
        <w:pStyle w:val="MainText"/>
        <w:spacing w:before="120" w:after="0"/>
        <w:rPr>
          <w:lang w:val="el" w:eastAsia="el"/>
        </w:rPr>
      </w:pPr>
      <w:r>
        <w:rPr>
          <w:b/>
          <w:bCs/>
          <w:lang w:val="el" w:eastAsia="el"/>
        </w:rPr>
        <w:t>4.</w:t>
      </w:r>
      <w:r>
        <w:rPr>
          <w:lang w:val="el" w:eastAsia="el"/>
        </w:rPr>
        <w:t xml:space="preserve"> Στις εξαγωγές υποκείμενων σε Ειδικό Φόρο Κατανάλωσης ενεργειακών προϊόντων των περ. α) έως ιβ) της παρ. 1 του άρθρου 73 ν. 2960/2001, στις οποίες πραγματοποιείται από το αρμόδιο τελωνείο εξαγωγής φυσικός έλεγχος, οι εταιρικές σφραγίδες που έχουν τεθεί σύμφωνα με τα οριζόμενα στην παρ.1, αφαιρούνται και πραγματοποιείται τελωνειακή σφράγιση.</w:t>
      </w:r>
    </w:p>
    <w:p>
      <w:pPr>
        <w:pStyle w:val="MainText"/>
        <w:spacing w:before="120" w:after="0"/>
        <w:rPr>
          <w:lang w:val="el" w:eastAsia="el"/>
        </w:rPr>
      </w:pPr>
      <w:r>
        <w:rPr>
          <w:b/>
          <w:bCs/>
          <w:lang w:val="el" w:eastAsia="el"/>
        </w:rPr>
        <w:t>5.</w:t>
      </w:r>
      <w:r>
        <w:rPr>
          <w:lang w:val="el" w:eastAsia="el"/>
        </w:rPr>
        <w:t xml:space="preserve"> Η μη τήρηση των προϋποθέσεων των παραγράφων 1 και 2 της παρούσας συνιστά απλή τελωνειακή παράβαση κατά την έννοια της παρ. 1 του άρθρου 119 Α του ν.2960/01 και επισύρει τα πρόστιμα της παρ.2 του άρθρου 112 Α του ίδιου νόμου σε βάρος των εγκεκριμένων αποθηκευτών για τις ποσότητες ενεργειακών προϊόντων που προορίζονται για εξαγωγή .</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Βάσει του δεύτερου εδαφίου της παρ. 4 του άρθρου 69 του ν.4758/2020 (Α΄242), η ημερομηνία έναρξης ισχύος του άρθρου 63 του ίδιου νόμου, με το οποίο προστέθηκε το άρθρο 112 Α στον ν.2960/2001, παρατείνεται και ορίζεται η 1η.1.2022.</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1.1.2022.</w:t>
      </w:r>
    </w:p>
    <w:p>
      <w:pPr>
        <w:pStyle w:val="MainText"/>
        <w:spacing w:before="120" w:after="0"/>
        <w:rPr>
          <w:lang w:val="el" w:eastAsia="el"/>
        </w:rPr>
      </w:pPr>
      <w:r>
        <w:rPr>
          <w:b/>
          <w:bCs/>
          <w:lang w:val="el" w:eastAsia="el"/>
        </w:rPr>
        <w:t>2.</w:t>
      </w:r>
      <w:r>
        <w:rPr>
          <w:lang w:val="el" w:eastAsia="el"/>
        </w:rPr>
        <w:t xml:space="preserve"> Η απόφαση να δημοσιευθεί στην Εφημερίδα της Κυβέρνησης.</w:t>
      </w:r>
    </w:p>
    <w:p>
      <w:pPr>
        <w:spacing w:before="240" w:after="240"/>
        <w:rPr>
          <w:lang w:val="el" w:eastAsia="el"/>
        </w:rPr>
      </w:pPr>
      <w:r>
        <w:rPr>
          <w:b/>
          <w:bCs/>
          <w:lang w:val="el" w:eastAsia="el"/>
        </w:rPr>
        <w:t>Ο ΔΙΟΙΚΗΤΗΣ ΤΗΣΑΝΕΞΑΡΤΗΤΗΣ ΑΡΧΗΣΔΗΜΟΣΙΩΝ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την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ΔΙ.Σ.ΤΕ.ΠΛ. (για ανάρτηση στην ιστοσελίδα της Α.Α.Δ.Ε.)</w:t>
      </w:r>
    </w:p>
    <w:p>
      <w:pPr>
        <w:pStyle w:val="MainText"/>
        <w:spacing w:before="120" w:after="0"/>
        <w:rPr>
          <w:lang w:val="el" w:eastAsia="el"/>
        </w:rPr>
      </w:pPr>
      <w:r>
        <w:rPr>
          <w:b/>
          <w:bCs/>
          <w:lang w:val="el" w:eastAsia="el"/>
        </w:rPr>
        <w:t>3.</w:t>
      </w:r>
      <w:r>
        <w:rPr>
          <w:lang w:val="el" w:eastAsia="el"/>
        </w:rPr>
        <w:t xml:space="preserve"> Αποδέκτες πίνακα Δ΄ εκτός ΔΙΕΥΘΥΝΣΗ ΔΙΑΧΕΙΡΙΣΗΣ ΔΗΜΟΣΙΟΥ ΥΛΙΚΟΥ (ΔΙ.Δ.Δ.Υ.)</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Ειδικών Φόρων Κατανάλωσης &amp; ΦΠΑ</w:t>
      </w:r>
    </w:p>
    <w:p>
      <w:pPr>
        <w:pStyle w:val="MainText"/>
        <w:spacing w:before="120" w:after="0"/>
        <w:rPr>
          <w:lang w:val="el" w:eastAsia="el"/>
        </w:rPr>
      </w:pPr>
      <w:r>
        <w:rPr>
          <w:b/>
          <w:bCs/>
          <w:lang w:val="el" w:eastAsia="el"/>
        </w:rPr>
        <w:t>4.</w:t>
      </w:r>
      <w:r>
        <w:rPr>
          <w:lang w:val="el" w:eastAsia="el"/>
        </w:rPr>
        <w:t xml:space="preserve"> Δ/νση Τελωνειακών Διαδικασιών</w:t>
      </w:r>
    </w:p>
    <w:p>
      <w:pPr>
        <w:pStyle w:val="MainText"/>
        <w:spacing w:before="120" w:after="0"/>
        <w:rPr>
          <w:lang w:val="el" w:eastAsia="el"/>
        </w:rPr>
      </w:pPr>
      <w:r>
        <w:rPr>
          <w:b/>
          <w:bCs/>
          <w:lang w:val="el" w:eastAsia="el"/>
        </w:rPr>
        <w:t>5.</w:t>
      </w:r>
      <w:r>
        <w:rPr>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6.</w:t>
      </w:r>
      <w:r>
        <w:rPr>
          <w:lang w:val="el" w:eastAsia="el"/>
        </w:rPr>
        <w:t xml:space="preserve"> Δ/νση Δασμολογικών Θεμάτων, Ειδικών Καθεστώτων &amp; Απαλλαγών</w:t>
      </w:r>
    </w:p>
    <w:p>
      <w:pPr>
        <w:pStyle w:val="MainText"/>
        <w:spacing w:before="120" w:after="0"/>
        <w:rPr>
          <w:lang w:val="el" w:eastAsia="el"/>
        </w:rPr>
      </w:pPr>
      <w:r>
        <w:rPr>
          <w:b/>
          <w:bCs/>
          <w:lang w:val="el" w:eastAsia="el"/>
        </w:rPr>
        <w:t>7.</w:t>
      </w:r>
      <w:r>
        <w:rPr>
          <w:lang w:val="el" w:eastAsia="el"/>
        </w:rPr>
        <w:t xml:space="preserve"> Ε.Υ.Τ.Ε.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step@aade.gr" TargetMode="External" /><Relationship Id="rId6" Type="http://schemas.openxmlformats.org/officeDocument/2006/relationships/hyperlink" Target="mailto:dtd@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