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3891/20-07-2021</w:t>
      </w:r>
    </w:p>
    <w:p>
      <w:pPr>
        <w:pStyle w:val="Title"/>
        <w:spacing w:before="120" w:after="360"/>
        <w:rPr>
          <w:lang w:val="el" w:eastAsia="el"/>
        </w:rPr>
      </w:pPr>
      <w:r>
        <w:rPr>
          <w:lang w:val="el" w:eastAsia="el"/>
        </w:rPr>
        <w:t>Καθορισμός του χρόνου έναρξης της παραγωγικής λειτουργίας, των τεχνικών και οργανωτικών μέτρων για τη λειτουργία της ειδικής εφαρμογής της παρ. 2 του άρθρου 34 του ν. 4816/2021 (A’ 118) και της διαδικασίας έκδοσης της ψηφιακής χρεωστικής κάρτας και πίστωσης της οικονομικής διευκόλυνσης, και ρύθμιση των ειδικότερων ζητημάτων εκκαθάρισης και κάθε άλλης αναγκαίας λεπτομέρειας</w:t>
      </w:r>
    </w:p>
    <w:p>
      <w:pPr>
        <w:pStyle w:val="PreambelText"/>
        <w:spacing w:before="240" w:after="240"/>
        <w:rPr>
          <w:lang w:val="el" w:eastAsia="el"/>
        </w:rPr>
      </w:pPr>
      <w:r>
        <w:rPr>
          <w:b/>
          <w:bCs/>
          <w:lang w:val="el" w:eastAsia="el"/>
        </w:rPr>
        <w:t>Αριθμ. 3891/2021</w:t>
      </w:r>
    </w:p>
    <w:p>
      <w:pPr>
        <w:pStyle w:val="PreambelText"/>
        <w:spacing w:before="240" w:after="240"/>
        <w:rPr>
          <w:lang w:val="el" w:eastAsia="el"/>
        </w:rPr>
      </w:pPr>
      <w:r>
        <w:rPr>
          <w:lang w:val="el" w:eastAsia="el"/>
        </w:rPr>
        <w:t>(ΦΕΚ Β' 3194/20-07-2021)</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ΟΙΚΟΝΟΜΙΚΩΝ - ΑΝΑΠΤΥΞΗΣ ΚΑΙ ΕΠΕΝΔΥΣΕΩΝ-ΥΓΕΙΑΣ</w:t>
      </w:r>
    </w:p>
    <w:p>
      <w:pPr>
        <w:pStyle w:val="PreambelText"/>
        <w:spacing w:before="240" w:after="240"/>
        <w:rPr>
          <w:lang w:val="el" w:eastAsia="el"/>
        </w:rPr>
      </w:pPr>
      <w:r>
        <w:rPr>
          <w:lang w:val="el" w:eastAsia="el"/>
        </w:rPr>
        <w:t>Ο ΥΦΥΠΟΥΡΓΟΣ ΨΗΦΙΑΚΗΣ ΔΙΑΚΥΒΕΡΝΗΣΗΣ-ΕΠΙΚΡΑΤΕΙΑΣ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w:t>
      </w:r>
    </w:p>
    <w:p>
      <w:pPr>
        <w:pStyle w:val="StructureList1"/>
        <w:spacing w:before="120" w:after="0"/>
        <w:rPr>
          <w:lang w:val="el" w:eastAsia="el"/>
        </w:rPr>
      </w:pPr>
      <w:r>
        <w:rPr>
          <w:lang w:val="el" w:eastAsia="el"/>
        </w:rPr>
        <w:t>β)</w:t>
      </w:r>
      <w:r>
        <w:rPr>
          <w:lang w:val="en" w:eastAsia="en"/>
        </w:rPr>
        <w:tab/>
      </w:r>
      <w:r>
        <w:rPr>
          <w:lang w:val="el" w:eastAsia="el"/>
        </w:rPr>
        <w:t>του άρθρου 34 του ν. 4816/2021 «Πρόληψη και καταστολή της νομιμοποίησης εσόδων από εγκληματικές δραστηριότητες και της χρηματοδότησης της τρομοκρατίας-Τροποποίηση του ν. 4557/2018 Ενσωμάτωση της Οδηγίας (ΕΕ) 2018/1673 του Ευρωπαϊκού Κοινοβουλίου και του Συμβουλίου, της 23ης Οκτωβρίου 2018, σχετικά με την καταπολέμηση της νομιμοποίησης εσόδων από παράνομες δραστηριότητες μέσω του ποινικού δικαίου, επιτάχυνση της απονομής της δικαιοσύνης και άλλες επείγουσες διατάξεις» (Α’ 118), και ιδίως της παρ. 8,</w:t>
      </w:r>
    </w:p>
    <w:p>
      <w:pPr>
        <w:pStyle w:val="StructureList1"/>
        <w:spacing w:before="120" w:after="0"/>
        <w:rPr>
          <w:lang w:val="el" w:eastAsia="el"/>
        </w:rPr>
      </w:pPr>
      <w:r>
        <w:rPr>
          <w:lang w:val="el" w:eastAsia="el"/>
        </w:rPr>
        <w:t>γ)</w:t>
      </w:r>
      <w:r>
        <w:rPr>
          <w:lang w:val="en" w:eastAsia="en"/>
        </w:rPr>
        <w:tab/>
      </w:r>
      <w:r>
        <w:rPr>
          <w:lang w:val="el" w:eastAsia="el"/>
        </w:rPr>
        <w:t>του ν. 4764/2020 «Ρυθμίσεις για την προστασία της δημόσιας υγείας από τις συνέπειες της πανδημίας του κορωνοϊού COVlD-19, την ενίσχυση των μέσων μαζικής μεταφοράς, την επιτάχυνση της απονομής των συντάξεων, τη ρύθμιση οφειλών προς τους οργανισμούς τοπικής αυτοδιοίκησης και άλλες κατεπείγουσες διατάξεις» (Α’ 256), και ιδίως του άρθρου 55,</w:t>
      </w:r>
    </w:p>
    <w:p>
      <w:pPr>
        <w:pStyle w:val="StructureList1"/>
        <w:spacing w:before="120" w:after="0"/>
        <w:rPr>
          <w:lang w:val="el" w:eastAsia="el"/>
        </w:rPr>
      </w:pPr>
      <w:r>
        <w:rPr>
          <w:lang w:val="el" w:eastAsia="el"/>
        </w:rPr>
        <w:t>δ)</w:t>
      </w:r>
      <w:r>
        <w:rPr>
          <w:lang w:val="en" w:eastAsia="en"/>
        </w:rPr>
        <w:tab/>
      </w:r>
      <w:r>
        <w:rPr>
          <w:lang w:val="el" w:eastAsia="el"/>
        </w:rPr>
        <w:t>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ε)</w:t>
      </w:r>
      <w:r>
        <w:rPr>
          <w:lang w:val="en" w:eastAsia="en"/>
        </w:rPr>
        <w:tab/>
      </w:r>
      <w:r>
        <w:rPr>
          <w:lang w:val="el" w:eastAsia="el"/>
        </w:rPr>
        <w:t>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StructureList1"/>
        <w:spacing w:before="120" w:after="0"/>
        <w:rPr>
          <w:lang w:val="el" w:eastAsia="el"/>
        </w:rPr>
      </w:pPr>
      <w:r>
        <w:rPr>
          <w:lang w:val="el" w:eastAsia="el"/>
        </w:rPr>
        <w:t>στ)</w:t>
      </w:r>
      <w:r>
        <w:rPr>
          <w:lang w:val="en" w:eastAsia="en"/>
        </w:rPr>
        <w:tab/>
      </w:r>
      <w:r>
        <w:rPr>
          <w:lang w:val="el" w:eastAsia="el"/>
        </w:rPr>
        <w:t>του ν. 4623/2019 «Ρυθμίσεις του Υπουργείου Εσωτερικών, διατάξεις για την ψηφιακή διακυβέρνηση, συνταξιοδοτικές ρυθμίσεις και άλλα επείγοντα ζητήματα» (Α’ 134), και ιδίως των άρθρων 47 και 58,</w:t>
      </w:r>
    </w:p>
    <w:p>
      <w:pPr>
        <w:pStyle w:val="StructureList1"/>
        <w:spacing w:before="120" w:after="0"/>
        <w:rPr>
          <w:lang w:val="el" w:eastAsia="el"/>
        </w:rPr>
      </w:pPr>
      <w:r>
        <w:rPr>
          <w:lang w:val="el" w:eastAsia="el"/>
        </w:rPr>
        <w:t>ζ)</w:t>
      </w:r>
      <w:r>
        <w:rPr>
          <w:lang w:val="en" w:eastAsia="en"/>
        </w:rPr>
        <w:tab/>
      </w:r>
      <w:r>
        <w:rPr>
          <w:lang w:val="el" w:eastAsia="el"/>
        </w:rPr>
        <w:t>του άρθρου 90 του Κώδικα της Νομοθεσίας για την Κυβέρνηση και τα κυβερνητικά όργανα (π.δ. 63/2005 Α’ 98), σε συνδυασμό με την παρ. 22 του άρθρου 119 του ν. 4622/2019 (Α’ 133),</w:t>
      </w:r>
    </w:p>
    <w:p>
      <w:pPr>
        <w:pStyle w:val="StructureList1"/>
        <w:spacing w:before="120" w:after="0"/>
        <w:rPr>
          <w:lang w:val="el" w:eastAsia="el"/>
        </w:rPr>
      </w:pPr>
      <w:r>
        <w:rPr>
          <w:lang w:val="el" w:eastAsia="el"/>
        </w:rPr>
        <w:t>η)</w:t>
      </w:r>
      <w:r>
        <w:rPr>
          <w:lang w:val="en" w:eastAsia="en"/>
        </w:rPr>
        <w:tab/>
      </w:r>
      <w:r>
        <w:rPr>
          <w:lang w:val="el" w:eastAsia="el"/>
        </w:rPr>
        <w:t>του άρθρου 32 του ν. 3614/2007 «Διαχείριση, έλεγχος και εφαρμογή αναπτυξιακών παρεμβάσεων για την προγραμματική περίοδο 2007 2013» (Α’ 267),</w:t>
      </w:r>
    </w:p>
    <w:p>
      <w:pPr>
        <w:pStyle w:val="StructureList1"/>
        <w:spacing w:before="120" w:after="0"/>
        <w:rPr>
          <w:lang w:val="el" w:eastAsia="el"/>
        </w:rPr>
      </w:pPr>
      <w:r>
        <w:rPr>
          <w:lang w:val="el" w:eastAsia="el"/>
        </w:rPr>
        <w:t>θ)</w:t>
      </w:r>
      <w:r>
        <w:rPr>
          <w:lang w:val="en" w:eastAsia="en"/>
        </w:rPr>
        <w:tab/>
      </w:r>
      <w:r>
        <w:rPr>
          <w:lang w:val="el" w:eastAsia="el"/>
        </w:rPr>
        <w:t>της παρ. 1 του άρθρου 31 του ν. 3013/2002 «Αναβάθμιση της πολιτικής προστασίας και άλλες διατάξεις» (Α’ 102),</w:t>
      </w:r>
    </w:p>
    <w:p>
      <w:pPr>
        <w:pStyle w:val="StructureList1"/>
        <w:spacing w:before="120" w:after="0"/>
        <w:rPr>
          <w:lang w:val="el" w:eastAsia="el"/>
        </w:rPr>
      </w:pPr>
      <w:r>
        <w:rPr>
          <w:lang w:val="el" w:eastAsia="el"/>
        </w:rPr>
        <w:t>ι)</w:t>
      </w:r>
      <w:r>
        <w:rPr>
          <w:lang w:val="en" w:eastAsia="en"/>
        </w:rPr>
        <w:tab/>
      </w:r>
      <w:r>
        <w:rPr>
          <w:lang w:val="el" w:eastAsia="el"/>
        </w:rPr>
        <w:t>των παρ. 3 και 4 του άρθρου 3 του Κώδικα Διοικητικής Διαδικασίας και άλλες διατάξεις (ν. 2690/1999 Α’ 45),</w:t>
      </w:r>
    </w:p>
    <w:p>
      <w:pPr>
        <w:pStyle w:val="StructureList1"/>
        <w:spacing w:before="120" w:after="0"/>
        <w:rPr>
          <w:lang w:val="el" w:eastAsia="el"/>
        </w:rPr>
      </w:pPr>
      <w:r>
        <w:rPr>
          <w:lang w:val="el" w:eastAsia="el"/>
        </w:rPr>
        <w:t>ια)</w:t>
      </w:r>
      <w:r>
        <w:rPr>
          <w:lang w:val="en" w:eastAsia="en"/>
        </w:rPr>
        <w:tab/>
      </w:r>
      <w:r>
        <w:rPr>
          <w:lang w:val="el" w:eastAsia="el"/>
        </w:rPr>
        <w:t>του π.δ. 62/2020 «Διορισμός Αναπληρωτών Υπουργών και Υφυπουργών» (Α’ 155),</w:t>
      </w:r>
    </w:p>
    <w:p>
      <w:pPr>
        <w:pStyle w:val="StructureList1"/>
        <w:spacing w:before="120" w:after="0"/>
        <w:rPr>
          <w:lang w:val="el" w:eastAsia="el"/>
        </w:rPr>
      </w:pPr>
      <w:r>
        <w:rPr>
          <w:lang w:val="el" w:eastAsia="el"/>
        </w:rPr>
        <w:t>ιβ)</w:t>
      </w:r>
      <w:r>
        <w:rPr>
          <w:lang w:val="en" w:eastAsia="en"/>
        </w:rPr>
        <w:tab/>
      </w:r>
      <w:r>
        <w:rPr>
          <w:lang w:val="el" w:eastAsia="el"/>
        </w:rPr>
        <w:t>του π.δ. 40/2020 «Οργανισμός του Υπουργείου Ψηφιακής Διακυβέρνησης» (Α’ 85),</w:t>
      </w:r>
    </w:p>
    <w:p>
      <w:pPr>
        <w:pStyle w:val="StructureList1"/>
        <w:spacing w:before="120" w:after="0"/>
        <w:rPr>
          <w:lang w:val="el" w:eastAsia="el"/>
        </w:rPr>
      </w:pPr>
      <w:r>
        <w:rPr>
          <w:lang w:val="el" w:eastAsia="el"/>
        </w:rPr>
        <w:t>ιγ)</w:t>
      </w:r>
      <w:r>
        <w:rPr>
          <w:lang w:val="en" w:eastAsia="en"/>
        </w:rPr>
        <w:tab/>
      </w:r>
      <w:r>
        <w:rPr>
          <w:lang w:val="el" w:eastAsia="el"/>
        </w:rPr>
        <w:t>του π.δ. 81/2019 «Σύσταση, συγχώνευση, μετονομασία και κατάργηση Υπουργείων και καθορισμός των αρμοδιοτήτων τους. Μεταφορά υπηρεσιών και αρμοδιοτήτων μεταξύ Υπουργείων» (Α’ 119),</w:t>
      </w:r>
    </w:p>
    <w:p>
      <w:pPr>
        <w:pStyle w:val="StructureList1"/>
        <w:spacing w:before="120" w:after="0"/>
        <w:rPr>
          <w:lang w:val="el" w:eastAsia="el"/>
        </w:rPr>
      </w:pPr>
      <w:r>
        <w:rPr>
          <w:lang w:val="el" w:eastAsia="el"/>
        </w:rPr>
        <w:t>ιδ)</w:t>
      </w:r>
      <w:r>
        <w:rPr>
          <w:lang w:val="en" w:eastAsia="en"/>
        </w:rPr>
        <w:tab/>
      </w:r>
      <w:r>
        <w:rPr>
          <w:lang w:val="el" w:eastAsia="el"/>
        </w:rPr>
        <w:t>του π.δ. 83/2019 «Διορισμός Αντιπροέδρου της Κυβέρνησης, Υπουργών, Αναπληρωτών Υπουργών και Υφυπουργών» (Α’ 121),</w:t>
      </w:r>
    </w:p>
    <w:p>
      <w:pPr>
        <w:pStyle w:val="StructureList1"/>
        <w:spacing w:before="120" w:after="0"/>
        <w:rPr>
          <w:lang w:val="el" w:eastAsia="el"/>
        </w:rPr>
      </w:pPr>
      <w:r>
        <w:rPr>
          <w:lang w:val="el" w:eastAsia="el"/>
        </w:rPr>
        <w:t>ιε)</w:t>
      </w:r>
      <w:r>
        <w:rPr>
          <w:lang w:val="en" w:eastAsia="en"/>
        </w:rPr>
        <w:tab/>
      </w:r>
      <w:r>
        <w:rPr>
          <w:lang w:val="el" w:eastAsia="el"/>
        </w:rPr>
        <w:t>του π.δ. 147/2017 «Οργανισμός του Υπουργείου Οικονομίας και Ανάπτυξης» (Α’ 192),</w:t>
      </w:r>
    </w:p>
    <w:p>
      <w:pPr>
        <w:pStyle w:val="StructureList1"/>
        <w:spacing w:before="120" w:after="0"/>
        <w:rPr>
          <w:lang w:val="el" w:eastAsia="el"/>
        </w:rPr>
      </w:pPr>
      <w:r>
        <w:rPr>
          <w:lang w:val="el" w:eastAsia="el"/>
        </w:rPr>
        <w:t>ιστ)</w:t>
      </w:r>
      <w:r>
        <w:rPr>
          <w:lang w:val="en" w:eastAsia="en"/>
        </w:rPr>
        <w:tab/>
      </w:r>
      <w:r>
        <w:rPr>
          <w:lang w:val="el" w:eastAsia="el"/>
        </w:rPr>
        <w:t>του π.δ. 142/2017 «Οργανισμός Υπουργείου Οικονομικών» (Α’ 181),</w:t>
      </w:r>
    </w:p>
    <w:p>
      <w:pPr>
        <w:pStyle w:val="StructureList1"/>
        <w:spacing w:before="120" w:after="0"/>
        <w:rPr>
          <w:lang w:val="el" w:eastAsia="el"/>
        </w:rPr>
      </w:pPr>
      <w:r>
        <w:rPr>
          <w:lang w:val="el" w:eastAsia="el"/>
        </w:rPr>
        <w:t>ιζ)</w:t>
      </w:r>
      <w:r>
        <w:rPr>
          <w:lang w:val="en" w:eastAsia="en"/>
        </w:rPr>
        <w:tab/>
      </w:r>
      <w:r>
        <w:rPr>
          <w:lang w:val="el" w:eastAsia="el"/>
        </w:rPr>
        <w:t>του π.δ. 121/2017 «Οργανισμός του Υπουργείου Υγείας» (Α’ 148).</w:t>
      </w:r>
    </w:p>
    <w:p>
      <w:pPr>
        <w:pStyle w:val="PreambelText"/>
        <w:spacing w:before="240" w:after="240"/>
        <w:rPr>
          <w:lang w:val="el" w:eastAsia="el"/>
        </w:rPr>
      </w:pPr>
      <w:r>
        <w:rPr>
          <w:lang w:val="el" w:eastAsia="el"/>
        </w:rPr>
        <w:t>2. Την υπό στοιχεία 200 1053 000051/19.7.2021 (αρ. πρωτ. 2/89891) απόφαση του Αναπληρωτή Υπουργού Οικονομικών.</w:t>
      </w:r>
    </w:p>
    <w:p>
      <w:pPr>
        <w:pStyle w:val="PreambelText"/>
        <w:spacing w:before="240" w:after="240"/>
        <w:rPr>
          <w:lang w:val="el" w:eastAsia="el"/>
        </w:rPr>
      </w:pPr>
      <w:r>
        <w:rPr>
          <w:lang w:val="el" w:eastAsia="el"/>
        </w:rPr>
        <w:t>3. Την υπό στοιχεία 1033/8.1.2021 κοινή απόφαση του Πρωθυπουργού και του Υπουργού Επικρατείας «Ανάθεση αρμοδιοτήτων στον Υφυπουργό Ψηφιακής Διακυβέρνησης, Γεώργιο Γεωργαντά» (Β’ 22).</w:t>
      </w:r>
    </w:p>
    <w:p>
      <w:pPr>
        <w:pStyle w:val="PreambelText"/>
        <w:spacing w:before="240" w:after="240"/>
        <w:rPr>
          <w:lang w:val="el" w:eastAsia="el"/>
        </w:rPr>
      </w:pPr>
      <w:r>
        <w:rPr>
          <w:lang w:val="el" w:eastAsia="el"/>
        </w:rPr>
        <w:t>4. Την υπό στοιχεία 33864/1.12.2020 απόφαση του Υπουργού Επικρατείας «Τροποποίηση του καταστατικού της ανώνυμης εταιρείας «Κοινωνία της Πληροφορίας Μονοπρόσωπη Α.Ε.» και κωδικοποίηση αυτού» (Β’ 5386).</w:t>
      </w:r>
    </w:p>
    <w:p>
      <w:pPr>
        <w:pStyle w:val="PreambelText"/>
        <w:spacing w:before="240" w:after="240"/>
        <w:rPr>
          <w:lang w:val="el" w:eastAsia="el"/>
        </w:rPr>
      </w:pPr>
      <w:r>
        <w:rPr>
          <w:lang w:val="el" w:eastAsia="el"/>
        </w:rPr>
        <w:t>5.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6. Την υπό στοιχεία 29810 ΕΞ 23.10.2020 απόφαση του Υπουργού Επικρατείας «Διαδικασία αυθεντικοποίησης υπαλλήλων του δημοσίου τομέα σε ψηφιακές δημόσιες υπηρεσίες» (Β’ 4798).</w:t>
      </w:r>
    </w:p>
    <w:p>
      <w:pPr>
        <w:pStyle w:val="PreambelText"/>
        <w:spacing w:before="240" w:after="240"/>
        <w:rPr>
          <w:lang w:val="el" w:eastAsia="el"/>
        </w:rPr>
      </w:pPr>
      <w:r>
        <w:rPr>
          <w:lang w:val="el" w:eastAsia="el"/>
        </w:rPr>
        <w:t>7. Την υπό στοιχεία 3981 ΕΞ 25-02-2020 απόφαση του Υπουργού Επικρατείας «Παροχή Υπηρεσίας Αυθεντικοποίησης Χρηστών oAuth2.0 σε Πληροφοριακά Συστήματα τρίτων Φορέων» (Β’ 762).</w:t>
      </w:r>
    </w:p>
    <w:p>
      <w:pPr>
        <w:pStyle w:val="PreambelText"/>
        <w:spacing w:before="240" w:after="240"/>
        <w:rPr>
          <w:lang w:val="el" w:eastAsia="el"/>
        </w:rPr>
      </w:pPr>
      <w:r>
        <w:rPr>
          <w:lang w:val="el" w:eastAsia="el"/>
        </w:rPr>
        <w:t>8. Την υπό στοιχεία Υ6/9.7.2019 απόφαση του Πρωθυπουργού «Ανάθεση αρμοδιοτήτων στον Υπουργό Επικρατείας) (Β’ 2902).</w:t>
      </w:r>
    </w:p>
    <w:p>
      <w:pPr>
        <w:pStyle w:val="PreambelText"/>
        <w:spacing w:before="240" w:after="240"/>
        <w:rPr>
          <w:lang w:val="el" w:eastAsia="el"/>
        </w:rPr>
      </w:pPr>
      <w:r>
        <w:rPr>
          <w:lang w:val="el" w:eastAsia="el"/>
        </w:rPr>
        <w:t>9. Το γεγονός ότι, πλην της δαπάνης ύψους πενήντα εκατομμυρίων (50.000.000) ευρώ που προβλέπεται στην παρ. 7 του άρθρου 34 του ν. 4816/2021, με την παρούσα δεν προκαλείται επιπλέον δαπάνη σε βάρος του κρατικού προϋπολογισμού,</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Λειτουργία της ειδικής εφαρμογής της παρ. 2 του άρθρου 34 του ν. 4816/2021 και διαδικασία έκδοσης της ψηφιακής χρεωστικής κάρτας</w:t>
      </w:r>
    </w:p>
    <w:p>
      <w:pPr>
        <w:pStyle w:val="MainText"/>
        <w:spacing w:before="120" w:after="0"/>
        <w:rPr>
          <w:lang w:val="el" w:eastAsia="el"/>
        </w:rPr>
      </w:pPr>
      <w:r>
        <w:rPr>
          <w:b/>
          <w:bCs/>
          <w:lang w:val="el" w:eastAsia="el"/>
        </w:rPr>
        <w:t>1.</w:t>
      </w:r>
      <w:r>
        <w:rPr>
          <w:lang w:val="el" w:eastAsia="el"/>
        </w:rPr>
        <w:t xml:space="preserve"> Μέσω της ειδικής εφαρμογής της παρ. 2 του άρθρου 34 του ν. 4816/2021, κάθε φυσικό πρόσωπο που έχει γεννηθεί κατά το χρονικό διάστημα μεταξύ 1.1.1996 έως και 31.12.2003 και έχει ολοκληρώσει την πρώτη δόση εμβολιασμού ή, σε περίπτωση μονοδοσικού εμβολίου, τη μόνη δόση εμβολιασμού κατά του κορωνοϊού COVID-19, από την έναρξη του Εθνικού Προγράμματος Εμβολιασμού, δύναται να αιτείται την έκδοση ψηφιακής χρεωστικής κάρτας στην οποία πιστώνεται, από την Κ.τ.Π. Μ.Α.Ε., οικονομική διευκόλυνση ύψους εκατόν πενήντα (150) ευρώ. Η ανωτέρω κάρτα εκδίδεται από πιστωτικό ίδρυμα ή χρηματοπιστωτικό οργανισμό, κατά την έννοια των παρ. 2 και 3 του άρθρου 3 του ν. 4557/2018 (Α’ 139), αντίστοιχα.</w:t>
      </w:r>
    </w:p>
    <w:p>
      <w:pPr>
        <w:pStyle w:val="MainText"/>
        <w:spacing w:before="120" w:after="0"/>
        <w:rPr>
          <w:lang w:val="el" w:eastAsia="el"/>
        </w:rPr>
      </w:pPr>
      <w:r>
        <w:rPr>
          <w:b/>
          <w:bCs/>
          <w:lang w:val="el" w:eastAsia="el"/>
        </w:rPr>
        <w:t>2.</w:t>
      </w:r>
      <w:r>
        <w:rPr>
          <w:lang w:val="el" w:eastAsia="el"/>
        </w:rPr>
        <w:t xml:space="preserve"> Η είσοδος του φυσικού προσώπου δικαιούχου στην ειδική εφαρμογή, η οποία είναι προσβάσιμη μέσω της Ενιαίας Ψηφιακής Πύλης της Δημόσιας Διοίκησης (gov. gr-ΕΨΠ), πραγματοποιείται κατόπιν αυθεντικοποίησής του με τη χρήση των κωδικών διαπιστευτηρίων της Γενικής Γραμματείας Πληροφοριακών Συστημάτων Δημόσιας Διοίκησης (taxisnet), σύμφωνα με το άρθρο 24 του ν. 4727/2020 (Α’ 184).</w:t>
      </w:r>
    </w:p>
    <w:p>
      <w:pPr>
        <w:pStyle w:val="MainText"/>
        <w:spacing w:before="120" w:after="0"/>
        <w:rPr>
          <w:lang w:val="el" w:eastAsia="el"/>
        </w:rPr>
      </w:pPr>
      <w:r>
        <w:rPr>
          <w:b/>
          <w:bCs/>
          <w:lang w:val="el" w:eastAsia="el"/>
        </w:rPr>
        <w:t>3.</w:t>
      </w:r>
      <w:r>
        <w:rPr>
          <w:lang w:val="el" w:eastAsia="el"/>
        </w:rPr>
        <w:t xml:space="preserve"> Μετά την είσοδό του στην εφαρμογή, το φυσικό πρόσωπo καταχωρίζει στα εμφανιζόμενα στο σύστημα πεδία τα στοιχεία επικοινωνίας του, και ειδικότερα τη διεύθυνση ηλεκτρονικού ταχυδρομείου και τον αριθμό του κινητού τηλεφώνου και αιτείται την έκδοση της ψηφιακής χρεωστικής κάρτας και την πίστωση του σχετικού ποσού.</w:t>
      </w:r>
    </w:p>
    <w:p>
      <w:pPr>
        <w:pStyle w:val="MainText"/>
        <w:spacing w:before="120" w:after="0"/>
        <w:rPr>
          <w:lang w:val="el" w:eastAsia="el"/>
        </w:rPr>
      </w:pPr>
      <w:r>
        <w:rPr>
          <w:b/>
          <w:bCs/>
          <w:lang w:val="el" w:eastAsia="el"/>
        </w:rPr>
        <w:t>4.</w:t>
      </w:r>
      <w:r>
        <w:rPr>
          <w:lang w:val="el" w:eastAsia="el"/>
        </w:rPr>
        <w:t xml:space="preserve"> Για τον σκοπό της επαλήθευσης των προϋποθέσεων της παρ. 1, το πληροφοριακό σύστημα της εφαρμογής διαλειτουργεί με το Εθνικό Μητρώο Εμβολιασμών κατά του κορωνοϊού COVID-19 του άρθρου 55 του ν. 4764/2020 (Α’ 256) και το Φορολογικό Μητρώο της Ανεξάρτητης Αρχής Δημοσίων Εσόδων (Α.Α.Δ.Ε.) και αντλεί τα αναγκαία στοιχεία.</w:t>
      </w:r>
    </w:p>
    <w:p>
      <w:pPr>
        <w:pStyle w:val="MainText"/>
        <w:spacing w:before="120" w:after="0"/>
        <w:rPr>
          <w:lang w:val="el" w:eastAsia="el"/>
        </w:rPr>
      </w:pPr>
      <w:r>
        <w:rPr>
          <w:b/>
          <w:bCs/>
          <w:lang w:val="el" w:eastAsia="el"/>
        </w:rPr>
        <w:t>5.</w:t>
      </w:r>
      <w:r>
        <w:rPr>
          <w:lang w:val="el" w:eastAsia="el"/>
        </w:rPr>
        <w:t xml:space="preserve"> Η Ε.Δ.Υ.Τ.Ε. Α.Ε., υπό τον ρόλο της ως εκτελούσας την επεξεργασία των δεδομένων για λογαριασμό της Κ.τ.Π. Μ.Α.Ε., έχει την υποχρέωση λήψης και διαρκούς τήρησης των κατάλληλων και αναγκαίων τεχνικών και οργανωτικών μέτρων ασφάλειας των λαμβανομένων στοιχείων και, κατ’ ελάχιστον, την καταγραφή και παρακολούθηση των προσβάσεων, τη διασφάλιση ιχνηλασιμότητας και την προστασία των διακινούμενων δεδομένων από κάθε παραβίαση, καθώς και από σκόπιμη ή τυχαία απειλή, ενεργώντας σύμφωνα με το ενωσιακό και εθνικό δίκαιο και, ιδίως, σύμφωνα με τις διατάξεις του Κανονισμού (ΕΕ) 2016/679 του Ευρωπαϊκού Κοινοβουλίου και του Συμβουλίου της 27ης Απριλίου 2016 (ΕΕ L 119) (Γενικού Κανονισμού για την Προστασία Δεδομένων ΓΚΠΔ) και του ν. 4624/2019 (Α’ 137).</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Διαδικασία έκδοσης της ψηφιακής χρεωστικής κάρτας από τα Κ.Ε.Π.</w:t>
      </w:r>
    </w:p>
    <w:p>
      <w:pPr>
        <w:pStyle w:val="MainText"/>
        <w:spacing w:before="120" w:after="0"/>
        <w:rPr>
          <w:lang w:val="el" w:eastAsia="el"/>
        </w:rPr>
      </w:pPr>
      <w:r>
        <w:rPr>
          <w:b/>
          <w:bCs/>
          <w:lang w:val="el" w:eastAsia="el"/>
        </w:rPr>
        <w:t>1.</w:t>
      </w:r>
      <w:r>
        <w:rPr>
          <w:lang w:val="el" w:eastAsia="el"/>
        </w:rPr>
        <w:t xml:space="preserve"> Η περιγραφόμενη στο άρθρο 1 διαδικασία έκδοσης της ψηφιακής χρεωστικής κάρτας μπορεί να πραγματοποιηθεί και μέσω των Κ.Ε.Π., από πιστοποιημένο υπάλληλο, κατόπιν σχετικής αίτησης του φυσικού προσώπου δικαιούχου. Ο υπάλληλος του Κ.Ε.Π. εισέρχεται στην ειδική εφαρμογή κατόπιν αυθεντικοποίησής του με τους Κωδικούς Δημόσιας Διοίκησης. Στη συνέχεια, ο υπάλληλος καταχωρίζει στα πεδία που εμφανίζονται στο σύστημα τα εξής στοιχεία του φυσικού προσώπου: α) τον Αριθμό Μητρώου Κοινωνικής Ασφάλισης (Α.Μ.Κ.Α.) ή τον προσωρινό Αριθμό Μητρώου Κοινωνικής Ασφάλισης (Π.Α.Μ.Κ.Α.) ή τον Προσωρινό Αριθμό Ασφάλισης και Υγειονομικής Περίθαλψης Αλλοδαπού (Π.Α.Α.Υ.Π.Α.) και β) τα στοιχεία επικοινωνίας του, και ειδικότερα τη διεύθυνση ηλεκτρονικού ταχυδρομείου και τον αριθμό του κινητού τηλεφώνου και αιτείται έκδοση της ψηφιακής χρεωστικής κάρτας και την πίστωση του σχετικού ποσού για λογαριασμό του φυσικού προσώπου.</w:t>
      </w:r>
    </w:p>
    <w:p>
      <w:pPr>
        <w:pStyle w:val="MainText"/>
        <w:spacing w:before="120" w:after="0"/>
        <w:rPr>
          <w:lang w:val="el" w:eastAsia="el"/>
        </w:rPr>
      </w:pPr>
      <w:r>
        <w:rPr>
          <w:b/>
          <w:bCs/>
          <w:lang w:val="el" w:eastAsia="el"/>
        </w:rPr>
        <w:t>2.</w:t>
      </w:r>
      <w:r>
        <w:rPr>
          <w:lang w:val="el" w:eastAsia="el"/>
        </w:rPr>
        <w:t xml:space="preserve"> H ανωτέρω διαδικασία έκδοσης της ψηφιακής χρεωστικής κάρτας δύναται να πραγματοποιείται και με εξουσιοδότηση του εκπροσώπου του φυσικού προσώπου.</w:t>
      </w:r>
    </w:p>
    <w:p>
      <w:pPr>
        <w:pStyle w:val="MainText"/>
        <w:spacing w:before="120" w:after="0"/>
        <w:rPr>
          <w:lang w:val="el" w:eastAsia="el"/>
        </w:rPr>
      </w:pPr>
      <w:r>
        <w:rPr>
          <w:b/>
          <w:bCs/>
          <w:lang w:val="el" w:eastAsia="el"/>
        </w:rPr>
        <w:t>3.</w:t>
      </w:r>
      <w:r>
        <w:rPr>
          <w:lang w:val="el" w:eastAsia="el"/>
        </w:rPr>
        <w:t xml:space="preserve"> Για την εξυπηρέτηση των χρηστών του πληροφοριακού συστήματος, διατίθεται εγχειρίδιο χρήσης της ηλεκτρονικής εφαρμογής καθώς και υπηρεσία εξυπηρέτησης των χρηστών (help desk) για την αναφορά και επίλυση προβλημάτων και την παροχή οδηγιών.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Πίστωση της οικονομικής διευκόλυνσης και ενεργοποίηση ψηφιακής χρεωστικής κάρτας</w:t>
      </w:r>
    </w:p>
    <w:p>
      <w:pPr>
        <w:pStyle w:val="MainText"/>
        <w:spacing w:before="120" w:after="0"/>
        <w:rPr>
          <w:lang w:val="el" w:eastAsia="el"/>
        </w:rPr>
      </w:pPr>
      <w:r>
        <w:rPr>
          <w:b/>
          <w:bCs/>
          <w:lang w:val="el" w:eastAsia="el"/>
        </w:rPr>
        <w:t>1.</w:t>
      </w:r>
      <w:r>
        <w:rPr>
          <w:lang w:val="el" w:eastAsia="el"/>
        </w:rPr>
        <w:t xml:space="preserve"> Μετά την ολοκλήρωση της υποβολής της αίτησης του φυσικού προσώπου σύμφωνα με τα άρθρα 1 και 2 και εφόσον επαληθευθεί η ιδιότητά του ως δικαιούχου, η Κ.τ.Π. Μ.Α.Ε. διαβιβάζει στο πιστωτικό ίδρυμα ή τον χρηματοπιστωτικό οργανισμό, τηρουμένων των κατάλληλων τεχνικών και οργανωτικών μέτρων, το όνομα, το επώνυμο, τη διεύθυνση ηλεκτρονικού ταχυδρομείου και τον αριθμό κινητού τηλεφώνου του δικαιούχου, για τον σκοπό της έκδοσης της ψηφιακής χρεωστικής κάρτας και της πίστωσης του ποσού της οικονομικής διευκόλυνσης, και εμβάζει, ταυτόχρονα, στο πιστωτικό ίδρυμα ή τον χρηματοπιστωτικό οργανισμό το χρηματικό ποσό που αντιστοιχεί στον δικαιούχο.</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w:t>
      </w:r>
      <w:r>
        <w:rPr>
          <w:lang w:val="el" w:eastAsia="el"/>
        </w:rPr>
        <w:t xml:space="preserve"> Στη συνέχεια, το πιστωτικό ίδρυμα ή ο χρηματοπιστωτικός οργανισμός ενημερώνει τον δικαιούχο για τη διαδικασία που πρέπει να ακολουθήσει για την ενεργοποίηση της κάρτας και την πίστωση του χρηματικού ποσού, αποστέλλοντας: α) γραπτό μήνυμα (sms) στον αριθμό κινητού τηλεφώνου που έχει δηλώσει ο δικαιούχος στην ειδική εφαρμογή, με ενσωματωμένες οδηγίες για την ενεργοποίηση της ψηφιακής χρεωστικής κάρτας και β) μήνυμα ηλεκτρονικού ταχυδρομείου (e-mail) στη διεύθυνση ηλεκτρονικού ταχυδρομείου που έχει δηλώσει ο δικαιούχος στην ειδική εφαρμογή με ενσωματωμένο σύνδεσμο για την ενεργοποίηση της ψηφιακής χρεωστικής κάρτας. Αφότου εισέλθει στον ανωτέρω σύνδεσμο, ο δικαιούχος δημιουργεί προσωπικό κωδικό πρόσβασης (password) και λαμβάνει κωδικό επιβεβαίωσης, με νέο γραπτό μήνυμα (sms), προκειμένου να ενεργοποιήσει την ψηφιακή χρεωστική κάρτα.</w:t>
      </w:r>
    </w:p>
    <w:p>
      <w:pPr>
        <w:pStyle w:val="MainText"/>
        <w:spacing w:before="120" w:after="0"/>
        <w:rPr>
          <w:lang w:val="el" w:eastAsia="el"/>
        </w:rPr>
      </w:pPr>
      <w:r>
        <w:rPr>
          <w:b/>
          <w:bCs/>
          <w:lang w:val="el" w:eastAsia="el"/>
        </w:rPr>
        <w:t>3.</w:t>
      </w:r>
      <w:r>
        <w:rPr>
          <w:lang w:val="el" w:eastAsia="el"/>
        </w:rPr>
        <w:t xml:space="preserve"> Το πιστωθέν χρηματικό ποσό δύναται να χρησιμοποιείται αποκλειστικά από τον δικαιούχο για την πραγματοποίηση αγορών ή τη λήψη υπηρεσιών από επιχειρήσεις που δραστηριοποιούνται στους τομείς του τουρισμού, του πολιτισμού και των μεταφορών και φέρουν, ιδίως, τους Κωδικούς Κατηγορίας Εμπόρου (Merchant Category Codes MCC) και τους Κωδικούς Αριθμούς Δραστηριότητας (Κ.Α.Δ.) που περιλαμβάνονται στα Παραρτήματα Ι και ΙΙ, αντίστοιχα, τα οποία αποτελούν αναπόσπαστο μέρος της παρούσας.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Διαδικασία εκκαθάρισης της οικονομικής διευκόλυνσης</w:t>
      </w:r>
    </w:p>
    <w:p>
      <w:pPr>
        <w:pStyle w:val="MainText"/>
        <w:spacing w:before="120" w:after="0"/>
        <w:rPr>
          <w:lang w:val="el" w:eastAsia="el"/>
        </w:rPr>
      </w:pPr>
      <w:r>
        <w:rPr>
          <w:b/>
          <w:bCs/>
          <w:lang w:val="el" w:eastAsia="el"/>
        </w:rPr>
        <w:t>1.</w:t>
      </w:r>
      <w:r>
        <w:rPr>
          <w:lang w:val="el" w:eastAsia="el"/>
        </w:rPr>
        <w:t xml:space="preserve"> Αμέσως μετά την ημερομηνία απενεργοποίησης της ψηφιακής χρεωστικής κάρτας σύμφωνα με την παρ. 5 του άρθρου 34 του ν. 4816/2021, το πιστωτικό ίδρυμα ή ο χρηματοπιστωτικός οργανισμός ενημερώνει την Κ.τ.Π. Μ.Α.Ε. σχετικά με το συνολικό ποσό το οποίο, για οποιονδήποτε λόγο, δεν έχει πιστωθεί στους δικαιούχους ή δεν έχει χρησιμοποιηθεί από αυτούς και επιστρέφει το ανωτέρω ποσό στην Κ.τ.Π. Μ.Α.Ε.</w:t>
      </w:r>
    </w:p>
    <w:p>
      <w:pPr>
        <w:pStyle w:val="MainText"/>
        <w:spacing w:before="120" w:after="0"/>
        <w:rPr>
          <w:lang w:val="el" w:eastAsia="el"/>
        </w:rPr>
      </w:pPr>
      <w:r>
        <w:rPr>
          <w:b/>
          <w:bCs/>
          <w:lang w:val="el" w:eastAsia="el"/>
        </w:rPr>
        <w:t>2.</w:t>
      </w:r>
      <w:r>
        <w:rPr>
          <w:lang w:val="el" w:eastAsia="el"/>
        </w:rPr>
        <w:t xml:space="preserve"> Η περαιτέρω αναζήτησή των ανωτέρω ποσών από τον δικαιούχο αποκλείεται.</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Έναρξη παραγωγικής λειτουργίας</w:t>
      </w:r>
    </w:p>
    <w:p>
      <w:pPr>
        <w:spacing w:before="240" w:after="240"/>
        <w:rPr>
          <w:lang w:val="el" w:eastAsia="el"/>
        </w:rPr>
      </w:pPr>
      <w:r>
        <w:rPr>
          <w:lang w:val="el" w:eastAsia="el"/>
        </w:rPr>
        <w:t>Η παραγωγική λειτουργία της ειδικής εφαρμογής της παρ. 2 του άρθρου 34 του ν. 4816/2021 εκκινεί την 20ή.7.2021.</w:t>
      </w:r>
    </w:p>
    <w:p>
      <w:pPr>
        <w:spacing w:before="240" w:after="240"/>
        <w:rPr>
          <w:lang w:val="el" w:eastAsia="el"/>
        </w:rPr>
      </w:pPr>
      <w:r>
        <w:rPr>
          <w:b/>
          <w:bCs/>
          <w:lang w:val="el" w:eastAsia="el"/>
        </w:rPr>
        <w:t>ΠΑΡΑΡΤΗΜΑ Ι</w:t>
      </w:r>
    </w:p>
    <w:p>
      <w:pPr>
        <w:spacing w:before="240" w:after="240"/>
        <w:rPr>
          <w:lang w:val="el" w:eastAsia="el"/>
        </w:rPr>
      </w:pPr>
      <w:r>
        <w:rPr>
          <w:b/>
          <w:bCs/>
          <w:lang w:val="el" w:eastAsia="el"/>
        </w:rPr>
        <w:t>Κωδικοί Κατηγορίας Εμπόρου (Merchant Category Codes - MCC)</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 </w:t>
      </w:r>
    </w:p>
    <w:p>
      <w:pPr>
        <w:spacing w:before="240" w:after="240"/>
        <w:rPr>
          <w:lang w:val="el" w:eastAsia="el"/>
        </w:rPr>
      </w:pPr>
      <w:r>
        <w:rPr>
          <w:i/>
          <w:iCs/>
          <w:lang w:val="el" w:eastAsia="el"/>
        </w:rPr>
        <w:t>Κατηγορία εμπόρου-Περιγραφή δραστηριότητας</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3000 έως 3350 αεροπορικές εταιρίες, αερομεταφορές</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3351 έως 3500 ενοικίαση αυτοκινήτων</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3501 έως 3999 ξενοδοχειακές επιχειρήσεις / καταλύματα</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4011 σιδηροδρομικές μεταφορές</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4111 μεταφορές</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4112 σιδηροδρομικές μεταφορές επιβατών</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4121 υπηρεσίες ταξί</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4131 υπηρεσίες λεωφορείων</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4411 θαλάσσιες μεταφορές/ ακτοπλοϊκά</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4457 ενοικίαση θαλάσσιων σκαφών</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4468 μαρίνες/ παροχή υπηρεσιών σε μαρίνες</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4511 λοιπές αερομεταφορές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4582 αεροδρόμια/ αεροσταθμοί</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4722 ταξιδιωτικά πρακτορεία</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4789 λοιπές μεταφορές</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5551 ενοικίαση σκαφών</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5561 ενοικίαση τροχόσπιτων κλπ</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7011 λοιπές ξενοδοχειακές επιχειρήσεις / καταλύματα</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7032 κατασκηνώσεις αναψυχής και αθλητισμού</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7033 campings</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7512 λοιπές ενοικιάσεις μηχανοκίνητων οχημάτων</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7832 Σινεμά</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7911 αίθουσες χορού, σχολεία, στούντιο</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7922 Θεατρικές επιχειρήσεις, πρακτορεία εισιτηρίων</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7929 ορχήστρες και μπάντες</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7991 εκθέσεις και τουριστικές ατραξιόν, μουσεία</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7997 υπηρεσίες γυμναστηρίου</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7999 λοιπές υπηρεσίες αναψυχής</w:t>
      </w:r>
      <w:r>
        <w:rPr>
          <w:rStyle w:val="Hyperlink"/>
          <w:color w:val="000000"/>
          <w:sz w:val="20"/>
          <w:szCs w:val="20"/>
          <w:u w:val="none" w:color="0000EE"/>
          <w:vertAlign w:val="superscript"/>
          <w:lang w:val="el" w:eastAsia="el"/>
        </w:rPr>
        <w:footnoteReference w:id="31"/>
      </w:r>
    </w:p>
    <w:p>
      <w:pPr>
        <w:spacing w:before="240" w:after="240"/>
        <w:rPr>
          <w:lang w:val="el" w:eastAsia="el"/>
        </w:rPr>
      </w:pPr>
      <w:r>
        <w:rPr>
          <w:b/>
          <w:bCs/>
          <w:lang w:val="el" w:eastAsia="el"/>
        </w:rPr>
        <w:t>ΠΑΡΑΡΤΗΜΑ II</w:t>
      </w:r>
    </w:p>
    <w:p>
      <w:pPr>
        <w:spacing w:before="240" w:after="240"/>
        <w:rPr>
          <w:lang w:val="el" w:eastAsia="el"/>
        </w:rPr>
      </w:pPr>
      <w:r>
        <w:rPr>
          <w:b/>
          <w:bCs/>
          <w:lang w:val="el" w:eastAsia="el"/>
        </w:rPr>
        <w:t>Κωδικοί Αριθμοί Δραστηριότητας (Κ.Α.Δ.) επιχειρήσεων</w:t>
      </w:r>
      <w:r>
        <w:rPr>
          <w:rStyle w:val="Hyperlink"/>
          <w:color w:val="000000"/>
          <w:sz w:val="20"/>
          <w:szCs w:val="20"/>
          <w:u w:val="none" w:color="0000EE"/>
          <w:vertAlign w:val="superscript"/>
          <w:lang w:val="el" w:eastAsia="el"/>
        </w:rPr>
        <w:footnoteReference w:id="32"/>
      </w:r>
    </w:p>
    <w:p>
      <w:pPr>
        <w:spacing w:before="240" w:after="240"/>
        <w:rPr>
          <w:lang w:val="el" w:eastAsia="el"/>
        </w:rPr>
      </w:pPr>
      <w:r>
        <w:rPr>
          <w:i/>
          <w:iCs/>
          <w:lang w:val="el" w:eastAsia="el"/>
        </w:rPr>
        <w:t> </w:t>
      </w:r>
    </w:p>
    <w:p>
      <w:pPr>
        <w:spacing w:before="240" w:after="240"/>
        <w:rPr>
          <w:lang w:val="el" w:eastAsia="el"/>
        </w:rPr>
      </w:pPr>
      <w:r>
        <w:rPr>
          <w:i/>
          <w:iCs/>
          <w:lang w:val="el" w:eastAsia="el"/>
        </w:rPr>
        <w:t>ΚΑΔ-ΜΕΤΑΦΟΡΑ ΚΑΙ ΑΠΟΘΗΚΕΥΣΗ</w:t>
      </w:r>
    </w:p>
    <w:p>
      <w:pPr>
        <w:pStyle w:val="MainText"/>
        <w:spacing w:before="120" w:after="0"/>
        <w:rPr>
          <w:lang w:val="el" w:eastAsia="el"/>
        </w:rPr>
      </w:pPr>
      <w:r>
        <w:rPr>
          <w:b/>
          <w:bCs/>
          <w:lang w:val="el" w:eastAsia="el"/>
        </w:rPr>
        <w:t>49.10</w:t>
      </w:r>
      <w:r>
        <w:rPr>
          <w:lang w:val="el" w:eastAsia="el"/>
        </w:rPr>
        <w:t xml:space="preserve"> Υπεραστικές σιδηροδρομικές μεταφορές επιβατών</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49.20</w:t>
      </w:r>
      <w:r>
        <w:rPr>
          <w:lang w:val="el" w:eastAsia="el"/>
        </w:rPr>
        <w:t xml:space="preserve"> Σιδηροδρομικές μεταφορές εμπορευμάτων</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49.31</w:t>
      </w:r>
      <w:r>
        <w:rPr>
          <w:lang w:val="el" w:eastAsia="el"/>
        </w:rPr>
        <w:t xml:space="preserve"> Αστικές και προαστιακές χερσαίες μεταφορές επιβατών</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49.32</w:t>
      </w:r>
      <w:r>
        <w:rPr>
          <w:lang w:val="el" w:eastAsia="el"/>
        </w:rPr>
        <w:t xml:space="preserve"> Εκμετάλλευση ταξί</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49.39</w:t>
      </w:r>
      <w:r>
        <w:rPr>
          <w:lang w:val="el" w:eastAsia="el"/>
        </w:rPr>
        <w:t xml:space="preserve"> Άλλες χερσαίες μεταφορές επιβατών π.δ.κ.α.</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50.10</w:t>
      </w:r>
      <w:r>
        <w:rPr>
          <w:lang w:val="el" w:eastAsia="el"/>
        </w:rPr>
        <w:t xml:space="preserve"> Θαλάσσιες και ακτοπλοϊκές μεταφορές επιβατών</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50.20</w:t>
      </w:r>
      <w:r>
        <w:rPr>
          <w:lang w:val="el" w:eastAsia="el"/>
        </w:rPr>
        <w:t xml:space="preserve"> Θαλάσσιες και ακτοπλοϊκές μεταφορές εμπορευμάτων</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50.30</w:t>
      </w:r>
      <w:r>
        <w:rPr>
          <w:lang w:val="el" w:eastAsia="el"/>
        </w:rPr>
        <w:t xml:space="preserve"> Εσωτερικές πλωτές μεταφορές επιβατών</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50.40</w:t>
      </w:r>
      <w:r>
        <w:rPr>
          <w:lang w:val="el" w:eastAsia="el"/>
        </w:rPr>
        <w:t xml:space="preserve"> Εσωτερικές πλωτές μεταφορές εμπορευμάτων</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51.10</w:t>
      </w:r>
      <w:r>
        <w:rPr>
          <w:lang w:val="el" w:eastAsia="el"/>
        </w:rPr>
        <w:t xml:space="preserve"> Αεροπορικές μεταφορές επιβατών</w:t>
      </w:r>
      <w:r>
        <w:rPr>
          <w:rStyle w:val="Hyperlink"/>
          <w:color w:val="000000"/>
          <w:sz w:val="20"/>
          <w:szCs w:val="20"/>
          <w:u w:val="none" w:color="0000EE"/>
          <w:vertAlign w:val="superscript"/>
          <w:lang w:val="el" w:eastAsia="el"/>
        </w:rPr>
        <w:footnoteReference w:id="42"/>
      </w:r>
    </w:p>
    <w:p>
      <w:pPr>
        <w:spacing w:before="240" w:after="240"/>
        <w:rPr>
          <w:lang w:val="el" w:eastAsia="el"/>
        </w:rPr>
      </w:pPr>
      <w:r>
        <w:rPr>
          <w:i/>
          <w:iCs/>
          <w:lang w:val="el" w:eastAsia="el"/>
        </w:rPr>
        <w:t> </w:t>
      </w:r>
    </w:p>
    <w:p>
      <w:pPr>
        <w:spacing w:before="240" w:after="240"/>
        <w:rPr>
          <w:lang w:val="el" w:eastAsia="el"/>
        </w:rPr>
      </w:pPr>
      <w:r>
        <w:rPr>
          <w:i/>
          <w:iCs/>
          <w:lang w:val="el" w:eastAsia="el"/>
        </w:rPr>
        <w:t>ΚΑΔ-ΔΡΑΣΤΗΡΙΟΤΗΤΕΣ ΥΠΗΡΕΣΙΩΝ ΠΑΡΟΧΗΣ ΚΑΤΑΛΥΜΑΤΟΣ</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55.10</w:t>
      </w:r>
      <w:r>
        <w:rPr>
          <w:lang w:val="el" w:eastAsia="el"/>
        </w:rPr>
        <w:t xml:space="preserve"> Ξενοδοχεία και παρόμοια καταλύματα</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55.20</w:t>
      </w:r>
      <w:r>
        <w:rPr>
          <w:lang w:val="el" w:eastAsia="el"/>
        </w:rPr>
        <w:t xml:space="preserve"> Καταλύματα διακοπών και άλλα καταλύματα σύντομης διαμονής</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55.30</w:t>
      </w:r>
      <w:r>
        <w:rPr>
          <w:lang w:val="el" w:eastAsia="el"/>
        </w:rPr>
        <w:t xml:space="preserve"> Χώροι κατασκήνωσης, εγκαταστάσεις για οχήματα αναψυχής και Ρυμουλκούμενα οχήματα</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55.90</w:t>
      </w:r>
      <w:r>
        <w:rPr>
          <w:lang w:val="el" w:eastAsia="el"/>
        </w:rPr>
        <w:t xml:space="preserve"> Άλλα καταλύματα</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 </w:t>
      </w:r>
    </w:p>
    <w:p>
      <w:pPr>
        <w:spacing w:before="240" w:after="240"/>
        <w:rPr>
          <w:lang w:val="el" w:eastAsia="el"/>
        </w:rPr>
      </w:pPr>
      <w:r>
        <w:rPr>
          <w:i/>
          <w:iCs/>
          <w:lang w:val="el" w:eastAsia="el"/>
        </w:rPr>
        <w:t>ΚΑΔ-ΤΑΞΙΔΙΩΤΙΚΑ ΓΡΑΦΕΙΑ</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79.11</w:t>
      </w:r>
      <w:r>
        <w:rPr>
          <w:lang w:val="el" w:eastAsia="el"/>
        </w:rPr>
        <w:t xml:space="preserve"> Δραστηριότητες ταξιδιωτικών πρακτορείων</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79.12</w:t>
      </w:r>
      <w:r>
        <w:rPr>
          <w:lang w:val="el" w:eastAsia="el"/>
        </w:rPr>
        <w:t xml:space="preserve"> Δραστηριότητες γραφείων οργανωμένων ταξιδιών</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79.90</w:t>
      </w:r>
      <w:r>
        <w:rPr>
          <w:lang w:val="el" w:eastAsia="el"/>
        </w:rPr>
        <w:t xml:space="preserve"> Άλλες δραστηριότητες υπηρεσιών κρατήσεων και συναφείς δραστηριότητες</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77.34</w:t>
      </w:r>
      <w:r>
        <w:rPr>
          <w:lang w:val="el" w:eastAsia="el"/>
        </w:rPr>
        <w:t xml:space="preserve"> Ενοικίαση και εκμίσθωση εξοπλισμού πλωτών μεταφορών</w:t>
      </w:r>
      <w:r>
        <w:rPr>
          <w:rStyle w:val="Hyperlink"/>
          <w:color w:val="000000"/>
          <w:sz w:val="20"/>
          <w:szCs w:val="20"/>
          <w:u w:val="none" w:color="0000EE"/>
          <w:vertAlign w:val="superscript"/>
          <w:lang w:val="el" w:eastAsia="el"/>
        </w:rPr>
        <w:footnoteReference w:id="52"/>
      </w:r>
    </w:p>
    <w:p>
      <w:pPr>
        <w:spacing w:before="240" w:after="240"/>
        <w:rPr>
          <w:lang w:val="el" w:eastAsia="el"/>
        </w:rPr>
      </w:pPr>
      <w:r>
        <w:rPr>
          <w:i/>
          <w:iCs/>
          <w:lang w:val="el" w:eastAsia="el"/>
        </w:rPr>
        <w:t> </w:t>
      </w:r>
    </w:p>
    <w:p>
      <w:pPr>
        <w:spacing w:before="240" w:after="240"/>
        <w:rPr>
          <w:lang w:val="el" w:eastAsia="el"/>
        </w:rPr>
      </w:pPr>
      <w:r>
        <w:rPr>
          <w:i/>
          <w:iCs/>
          <w:lang w:val="el" w:eastAsia="el"/>
        </w:rPr>
        <w:t>ΚΑΔ-ΤΕΧΝΕΣ, ΔΙΑΣΚΕΔΑΣΗ ΚΑΙ ΨΥΧΑΓΩΓΙΑ</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90.01</w:t>
      </w:r>
      <w:r>
        <w:rPr>
          <w:lang w:val="el" w:eastAsia="el"/>
        </w:rPr>
        <w:t xml:space="preserve"> Τέχνες του θεάματος</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90.02</w:t>
      </w:r>
      <w:r>
        <w:rPr>
          <w:lang w:val="el" w:eastAsia="el"/>
        </w:rPr>
        <w:t xml:space="preserve"> Υποστηρικτικές δραστηριότητες για τις τέχνες του θεάματος</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90.03</w:t>
      </w:r>
      <w:r>
        <w:rPr>
          <w:lang w:val="el" w:eastAsia="el"/>
        </w:rPr>
        <w:t xml:space="preserve"> Καλλιτεχνική δημιουργία</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90.04</w:t>
      </w:r>
      <w:r>
        <w:rPr>
          <w:lang w:val="el" w:eastAsia="el"/>
        </w:rPr>
        <w:t xml:space="preserve"> Εκμετάλλευση αιθουσών θεαμάτων και συναφείς δραστηριότητες</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91.02</w:t>
      </w:r>
      <w:r>
        <w:rPr>
          <w:lang w:val="el" w:eastAsia="el"/>
        </w:rPr>
        <w:t xml:space="preserve"> Δραστηριότητες μουσείων</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91.03</w:t>
      </w:r>
      <w:r>
        <w:rPr>
          <w:lang w:val="el" w:eastAsia="el"/>
        </w:rPr>
        <w:t xml:space="preserve"> Λειτουργία ιστορικών χώρων και κτιρίων και παρόμοιων πόλων έλξης επισκεπτών</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93.29</w:t>
      </w:r>
      <w:r>
        <w:rPr>
          <w:lang w:val="el" w:eastAsia="el"/>
        </w:rPr>
        <w:t xml:space="preserve"> Άλλες δραστηριότητες διασκέδασης και ψυχαγωγίας</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59.14</w:t>
      </w:r>
      <w:r>
        <w:rPr>
          <w:lang w:val="el" w:eastAsia="el"/>
        </w:rPr>
        <w:t xml:space="preserve"> Δραστηριότητες προβολής κινηματογραφικών ταινιών</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 </w:t>
      </w:r>
    </w:p>
    <w:p>
      <w:pPr>
        <w:spacing w:before="240" w:after="240"/>
        <w:rPr>
          <w:lang w:val="el" w:eastAsia="el"/>
        </w:rPr>
      </w:pPr>
      <w:r>
        <w:rPr>
          <w:i/>
          <w:iCs/>
          <w:lang w:val="el" w:eastAsia="el"/>
        </w:rPr>
        <w:t>ΚΑΔ-ΓΥΜΝΑΣΤΗΡΙΑ</w:t>
      </w:r>
    </w:p>
    <w:p>
      <w:pPr>
        <w:pStyle w:val="MainText"/>
        <w:spacing w:before="120" w:after="0"/>
        <w:rPr>
          <w:lang w:val="el" w:eastAsia="el"/>
        </w:rPr>
      </w:pPr>
      <w:r>
        <w:rPr>
          <w:b/>
          <w:bCs/>
          <w:lang w:val="el" w:eastAsia="el"/>
        </w:rPr>
        <w:t>93.13</w:t>
      </w:r>
      <w:r>
        <w:rPr>
          <w:lang w:val="el" w:eastAsia="el"/>
        </w:rPr>
        <w:t xml:space="preserve"> Εγκαταστάσεις γυμναστικής</w:t>
      </w:r>
      <w:r>
        <w:rPr>
          <w:rStyle w:val="Hyperlink"/>
          <w:color w:val="000000"/>
          <w:sz w:val="20"/>
          <w:szCs w:val="20"/>
          <w:u w:val="none" w:color="0000EE"/>
          <w:vertAlign w:val="superscript"/>
          <w:lang w:val="el" w:eastAsia="el"/>
        </w:rPr>
        <w:footnoteReference w:id="62"/>
      </w:r>
    </w:p>
    <w:p>
      <w:pPr>
        <w:pStyle w:val="Heading6"/>
        <w:spacing w:before="240" w:after="240"/>
        <w:rPr>
          <w:lang w:val="el" w:eastAsia="el"/>
        </w:rPr>
      </w:pPr>
      <w:r>
        <w:rPr>
          <w:rStyle w:val="article-num"/>
          <w:b/>
          <w:bCs/>
          <w:lang w:val="el" w:eastAsia="el"/>
        </w:rPr>
        <w:t>Άρθρο 6</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20 Ιουλίου 2021</w:t>
      </w:r>
    </w:p>
    <w:p>
      <w:pPr>
        <w:spacing w:before="240" w:after="240"/>
        <w:rPr>
          <w:lang w:val="el" w:eastAsia="el"/>
        </w:rPr>
      </w:pPr>
      <w:r>
        <w:rPr>
          <w:lang w:val="el" w:eastAsia="el"/>
        </w:rPr>
        <w:t xml:space="preserve">Οι Υπουργοί </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Ανάπτυξης και Επενδύσεων</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 xml:space="preserve">Υγείας </w:t>
      </w:r>
    </w:p>
    <w:p>
      <w:pPr>
        <w:spacing w:before="240" w:after="240"/>
        <w:rPr>
          <w:lang w:val="el" w:eastAsia="el"/>
        </w:rPr>
      </w:pPr>
      <w:r>
        <w:rPr>
          <w:lang w:val="el" w:eastAsia="el"/>
        </w:rPr>
        <w:t>ΒΑΣΙΛΕΙΟΣ ΚΙΚΙΛΙΑΣ</w:t>
      </w:r>
    </w:p>
    <w:p>
      <w:pPr>
        <w:spacing w:before="240" w:after="240"/>
        <w:rPr>
          <w:lang w:val="el" w:eastAsia="el"/>
        </w:rPr>
      </w:pPr>
      <w:r>
        <w:rPr>
          <w:lang w:val="el" w:eastAsia="el"/>
        </w:rPr>
        <w:t>Υφυπουργός Ψηφιακής Διακυβέρνησης</w:t>
      </w:r>
    </w:p>
    <w:p>
      <w:pPr>
        <w:spacing w:before="240" w:after="240"/>
        <w:rPr>
          <w:lang w:val="el" w:eastAsia="el"/>
        </w:rPr>
      </w:pPr>
      <w:r>
        <w:rPr>
          <w:lang w:val="el" w:eastAsia="el"/>
        </w:rPr>
        <w:t>ΓΕΩΡΓΙΟΣ ΓΕΩΡΓΑΝΤΑΣ</w:t>
      </w:r>
    </w:p>
    <w:p>
      <w:pPr>
        <w:spacing w:before="240" w:after="240"/>
        <w:rPr>
          <w:lang w:val="el" w:eastAsia="el"/>
        </w:rPr>
      </w:pPr>
      <w:r>
        <w:rPr>
          <w:lang w:val="el" w:eastAsia="el"/>
        </w:rPr>
        <w:t>Επικρατείας</w:t>
      </w:r>
    </w:p>
    <w:p>
      <w:pPr>
        <w:spacing w:before="240" w:after="240"/>
        <w:rPr>
          <w:lang w:val="el" w:eastAsia="el"/>
        </w:rPr>
      </w:pPr>
      <w:r>
        <w:rPr>
          <w:lang w:val="el" w:eastAsia="el"/>
        </w:rPr>
        <w:t>ΚΥΡΙΑΚΟΣ ΠΙΕΡΡΑΚΑΚΗΣ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1787/2022 15.02.2022</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1787/2022 15.02.2022</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1787/2022 15.02.2022</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1787/2022 15.02.2022</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1787/2022 15.02.2022</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1787/2022 15.02.2022</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1787/2022 15.02.2022</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1787/2022 15.02.2022</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1787/2022 15.02.2022</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1787/2022 15.02.2022</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1787/2022 15.02.2022</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1787/2022 15.02.2022</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1787/2022 15.02.2022</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1787/2022 15.02.2022</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1787/2022 15.02.2022</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1787/2022 15.02.2022</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1787/2022 15.02.2022</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1787/2022 15.02.2022</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1787/2022 15.02.2022</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1787/2022 15.02.2022</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1787/2022 15.02.2022</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1787/2022 15.02.2022</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1787/2022 15.02.2022</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1787/2022 15.02.2022</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1787/2022 15.02.2022</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1787/2022 15.02.2022</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1787/2022 15.02.2022</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1787/2022 15.02.2022</w:t>
      </w:r>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1787/2022 15.02.2022</w:t>
      </w:r>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1787/2022 15.02.2022</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1787/2022 15.02.2022</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1787/2022 15.02.2022</w:t>
      </w:r>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1787/2022 15.02.2022</w:t>
      </w:r>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1787/2022 15.02.2022</w:t>
      </w:r>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1787/2022 15.02.2022</w:t>
      </w:r>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1787/2022 15.02.2022</w:t>
      </w:r>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1787/2022 15.02.2022</w:t>
      </w:r>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1787/2022 15.02.2022</w:t>
      </w:r>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1787/2022 15.02.2022</w:t>
      </w:r>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1787/2022 15.02.2022</w:t>
      </w:r>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1787/2022 15.02.2022</w:t>
      </w:r>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1787/2022 15.02.2022</w:t>
      </w:r>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1787/2022 15.02.2022</w:t>
      </w:r>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1787/2022 15.02.2022</w:t>
      </w:r>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1787/2022 15.02.2022</w:t>
      </w:r>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1787/2022 15.02.2022</w:t>
      </w:r>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1787/2022 15.02.2022</w:t>
      </w:r>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1787/2022 15.02.2022</w:t>
      </w:r>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1787/2022 15.02.2022</w:t>
      </w:r>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1787/2022 15.02.2022</w:t>
      </w:r>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1787/2022 15.02.2022</w:t>
      </w:r>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1787/2022 15.02.2022</w:t>
      </w:r>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1787/2022 15.02.2022</w:t>
      </w:r>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1787/2022 15.02.2022</w:t>
      </w:r>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1787/2022 15.02.2022</w:t>
      </w:r>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1787/2022 15.02.2022</w:t>
      </w:r>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1787/2022 15.02.2022</w:t>
      </w:r>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1787/2022 15.02.2022</w:t>
      </w:r>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1787/2022 15.02.2022</w:t>
      </w:r>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1787/2022 15.02.2022</w:t>
      </w:r>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1787/2022 15.02.2022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