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3891</w:t>
      </w:r>
    </w:p>
    <w:p>
      <w:pPr>
        <w:pStyle w:val="PreambelText"/>
        <w:spacing w:before="240" w:after="240"/>
        <w:rPr>
          <w:lang w:val="el" w:eastAsia="el"/>
        </w:rPr>
      </w:pPr>
      <w:r>
        <w:rPr>
          <w:b/>
          <w:bCs/>
          <w:lang w:val="el" w:eastAsia="el"/>
        </w:rPr>
        <w:t>Καθορισμός του χρόνου έναρξης της παραγωγικής λειτουργίας, των τεχνικών και οργανωτικών μέτρων για τη λειτουργία της ειδικής εφαρμογής της παρ. 2 του άρθρου 34 του ν. 4816/2021 (A’ 118) και της διαδικασίας έκδοσης της ψηφιακής χρεωστικής κάρτας και πίστωσης της οικονομικής διευκόλυνσης, και ρύθμιση των ειδικότερων ζητημάτων εκκαθάρισης και κάθε άλλης αναγκαίας λεπτομέρειας.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ΥΓΕΙΑΣ - Ο ΥΦΥΠΟΥΡΓΟΣ ΨΗΦΙΑΚΗΣ</w:t>
      </w:r>
    </w:p>
    <w:p>
      <w:pPr>
        <w:pStyle w:val="PreambelText"/>
        <w:spacing w:before="240" w:after="240"/>
        <w:rPr>
          <w:lang w:val="el" w:eastAsia="el"/>
        </w:rPr>
      </w:pPr>
      <w:r>
        <w:rPr>
          <w:b/>
          <w:bCs/>
          <w:lang w:val="el" w:eastAsia="el"/>
        </w:rPr>
        <w:t>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StructureList1"/>
        <w:spacing w:before="120" w:after="0"/>
        <w:rPr>
          <w:lang w:val="el" w:eastAsia="el"/>
        </w:rPr>
      </w:pPr>
      <w:r>
        <w:rPr>
          <w:lang w:val="el" w:eastAsia="el"/>
        </w:rPr>
        <w:t>β)</w:t>
      </w:r>
      <w:r>
        <w:rPr>
          <w:lang w:val="en" w:eastAsia="en"/>
        </w:rPr>
        <w:tab/>
      </w:r>
      <w:r>
        <w:rPr>
          <w:lang w:val="el" w:eastAsia="el"/>
        </w:rPr>
        <w:t>του άρθρου 34 του ν. 4816/2021 «Πρόληψη και καταστολή της νομιμοποίησης εσόδων από εγκληματικές δραστηριότητες και της χρηματοδότησης της τρομοκρατίας - Τροποποίηση του ν. 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 της απονομής της δικαιοσύνης και άλλες επείγουσες διατάξεις» (Α’ 118), και ιδίως της παρ. 8,</w:t>
      </w:r>
    </w:p>
    <w:p>
      <w:pPr>
        <w:pStyle w:val="StructureList1"/>
        <w:spacing w:before="120" w:after="0"/>
        <w:rPr>
          <w:lang w:val="el" w:eastAsia="el"/>
        </w:rPr>
      </w:pPr>
      <w:r>
        <w:rPr>
          <w:lang w:val="el" w:eastAsia="el"/>
        </w:rPr>
        <w:t>γ)</w:t>
      </w:r>
      <w:r>
        <w:rPr>
          <w:lang w:val="en" w:eastAsia="en"/>
        </w:rPr>
        <w:tab/>
      </w:r>
      <w:r>
        <w:rPr>
          <w:lang w:val="el" w:eastAsia="el"/>
        </w:rPr>
        <w:t>του ν. 4764/2020 «Ρυθμίσεις για την προστασία της δημόσιας υγείας από τις συνέπειες της πανδημίας του κορωνοϊού COVlD-19,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 και ιδίως του άρθρου 55,</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των άρθρων 47 και 58,</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της Νομοθεσίας για την Κυβέρνηση και τα κυβερνητικά όργανα (π.δ. 63/2005 - Α’ 98), σε συνδυασμό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άρθρου 32 του ν. 3614/2007 «Διαχείριση, έλεγχος και εφαρμογή αναπτυξιακών παρεμβάσεων για την προγραμματική περίοδο 2007 - 2013» (Α’ 267),</w:t>
      </w:r>
    </w:p>
    <w:p>
      <w:pPr>
        <w:pStyle w:val="StructureList1"/>
        <w:spacing w:before="120" w:after="0"/>
        <w:rPr>
          <w:lang w:val="el" w:eastAsia="el"/>
        </w:rPr>
      </w:pPr>
      <w:r>
        <w:rPr>
          <w:lang w:val="el" w:eastAsia="el"/>
        </w:rPr>
        <w:t>θ)</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ι)</w:t>
      </w:r>
      <w:r>
        <w:rPr>
          <w:lang w:val="en" w:eastAsia="en"/>
        </w:rPr>
        <w:tab/>
      </w:r>
      <w:r>
        <w:rPr>
          <w:lang w:val="el" w:eastAsia="el"/>
        </w:rPr>
        <w:t>των παρ. 3 και 4 του άρθρου 3 του Κώδικα Διοικητικής Διαδικασίας και άλλες διατάξεις (ν. 2690/1999 - Α’ 45),</w:t>
      </w:r>
    </w:p>
    <w:p>
      <w:pPr>
        <w:pStyle w:val="StructureList1"/>
        <w:spacing w:before="120" w:after="0"/>
        <w:rPr>
          <w:lang w:val="el" w:eastAsia="el"/>
        </w:rPr>
      </w:pPr>
      <w:r>
        <w:rPr>
          <w:lang w:val="el" w:eastAsia="el"/>
        </w:rPr>
        <w:t>ια)</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ιβ)</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ιγ)</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ιε)</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ιζ)</w:t>
      </w:r>
      <w:r>
        <w:rPr>
          <w:lang w:val="en" w:eastAsia="en"/>
        </w:rPr>
        <w:tab/>
      </w:r>
      <w:r>
        <w:rPr>
          <w:lang w:val="el" w:eastAsia="el"/>
        </w:rPr>
        <w:t>του π.δ. 121/2017 «Οργανισμός του Υπουργείου Υγείας» (Α’ 148).</w:t>
      </w:r>
    </w:p>
    <w:p>
      <w:pPr>
        <w:pStyle w:val="PreambelText"/>
        <w:spacing w:before="240" w:after="240"/>
        <w:rPr>
          <w:lang w:val="el" w:eastAsia="el"/>
        </w:rPr>
      </w:pPr>
      <w:r>
        <w:rPr>
          <w:lang w:val="el" w:eastAsia="el"/>
        </w:rPr>
        <w:t>2. Την υπό στοιχεία 200 1053 000051/19.7.2021 (αρ. πρωτ. 2/89891) απόφαση του Αναπληρωτή Υπουργού Οικονομικών.</w:t>
      </w:r>
    </w:p>
    <w:p>
      <w:pPr>
        <w:pStyle w:val="PreambelText"/>
        <w:spacing w:before="240" w:after="240"/>
        <w:rPr>
          <w:lang w:val="el" w:eastAsia="el"/>
        </w:rPr>
      </w:pPr>
      <w:r>
        <w:rPr>
          <w:lang w:val="el" w:eastAsia="el"/>
        </w:rPr>
        <w:t>3. Την υπό στοιχεία 1033/8.1.2021 κοινή απόφαση του Πρωθυπουργού και του Υπουργού Επικρατείας «Ανάθεση αρμοδιοτήτων στον Υφυπουργό Ψηφιακής Διακυβέρνησης, Γεώργιο Γεωργαντά» (Β’ 22).</w:t>
      </w:r>
    </w:p>
    <w:p>
      <w:pPr>
        <w:pStyle w:val="PreambelText"/>
        <w:spacing w:before="240" w:after="240"/>
        <w:rPr>
          <w:lang w:val="el" w:eastAsia="el"/>
        </w:rPr>
      </w:pPr>
      <w:r>
        <w:rPr>
          <w:lang w:val="el" w:eastAsia="el"/>
        </w:rPr>
        <w:t>4. Την υπό στοιχεία 33864/1.12.2020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5386).</w:t>
      </w:r>
    </w:p>
    <w:p>
      <w:pPr>
        <w:pStyle w:val="PreambelText"/>
        <w:spacing w:before="240" w:after="240"/>
        <w:rPr>
          <w:lang w:val="el" w:eastAsia="el"/>
        </w:rPr>
      </w:pPr>
      <w:r>
        <w:rPr>
          <w:lang w:val="el" w:eastAsia="el"/>
        </w:rPr>
        <w:t>5.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6. Την υπό στοιχεία 29810 2020/23.10.2020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7. Την υπό στοιχεία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8.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9. Το γεγονός ότι, πλην της δαπάνης ύψους πενήντα εκατομμυρίων (50.000.000) ευρώ που προβλέπεται στην παρ. 7 του άρθρου 34 του ν. 4816/2021, με την παρούσα δεν προκαλείται επιπλέον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Λειτουργία της ειδικής εφαρμογής της παρ. 2 του άρθρου 34 του ν. 4816/2021 και διαδικασία έκδοσης της ψηφιακής χρεωστικής κάρτας</w:t>
      </w:r>
    </w:p>
    <w:p>
      <w:pPr>
        <w:pStyle w:val="MainText"/>
        <w:spacing w:before="120" w:after="0"/>
        <w:rPr>
          <w:lang w:val="el" w:eastAsia="el"/>
        </w:rPr>
      </w:pPr>
      <w:r>
        <w:rPr>
          <w:b/>
          <w:bCs/>
          <w:lang w:val="el" w:eastAsia="el"/>
        </w:rPr>
        <w:t>1.</w:t>
      </w:r>
      <w:r>
        <w:rPr>
          <w:lang w:val="el" w:eastAsia="el"/>
        </w:rPr>
        <w:t xml:space="preserve"> Μέσω της ειδικής εφαρμογής της παρ. 2 του άρθρου 34 του ν. 4816/2021, κάθε φυσικό πρόσωπο που έχει γεννηθεί κατά το χρονικό διάστημα μεταξύ 1.1.1996 έως και 31.12.2003 και έχει ολοκληρώσει την πρώτη δόση εμβολιασμού ή, σε περίπτωση μονοδοσικού εμβολίου, τη μόνη δόση εμβολιασμού κατά του κορωνοϊού COVID-19, από την έναρξη του Εθνικού Προγράμματος Εμβολιασμού, δύναται να αιτείται την έκδοση ψηφιακής χρεωστικής κάρτας στην οποία πιστώνεται, από την Κ.τ.Π. Μ.Α.Ε., οικονομική διευκόλυνση ύψους εκατόν πενήντα (150) ευρώ. Η ανωτέρω κάρτα εκδίδεται από πιστωτικό ίδρυμα ή χρηματοπιστωτικό οργανισμό, κατά την έννοια των παρ. 2 και 3 του άρθρου 3 του ν. 4557/2018 (Α’ 139), αντίστοιχα.</w:t>
      </w:r>
    </w:p>
    <w:p>
      <w:pPr>
        <w:pStyle w:val="MainText"/>
        <w:spacing w:before="120" w:after="0"/>
        <w:rPr>
          <w:lang w:val="el" w:eastAsia="el"/>
        </w:rPr>
      </w:pPr>
      <w:r>
        <w:rPr>
          <w:b/>
          <w:bCs/>
          <w:lang w:val="el" w:eastAsia="el"/>
        </w:rPr>
        <w:t>2.</w:t>
      </w:r>
      <w:r>
        <w:rPr>
          <w:lang w:val="el" w:eastAsia="el"/>
        </w:rPr>
        <w:t xml:space="preserve"> Η είσοδος του φυσικού προσώπου - δικαιούχου στην ειδική εφαρμογή, η οποία είναι προσβάσιμη μέσω της Ενιαίας Ψηφιακής Πύλης της Δημόσιας Διοίκησης (gov. gr-ΕΨΠ), πραγματοποιείται κατόπιν αυθεντικοποίησής του με τη χρήση των κωδικών - διαπιστευτηρίων της Γενικής Γραμματείας Πληροφοριακών Συστημάτων Δημόσιας Διοίκησης (taxisnet), σύμφωνα με το άρθρο 24 του ν. 4727/2020 (Α’ 184).</w:t>
      </w:r>
    </w:p>
    <w:p>
      <w:pPr>
        <w:pStyle w:val="MainText"/>
        <w:spacing w:before="120" w:after="0"/>
        <w:rPr>
          <w:lang w:val="el" w:eastAsia="el"/>
        </w:rPr>
      </w:pPr>
      <w:r>
        <w:rPr>
          <w:b/>
          <w:bCs/>
          <w:lang w:val="el" w:eastAsia="el"/>
        </w:rPr>
        <w:t>3.</w:t>
      </w:r>
      <w:r>
        <w:rPr>
          <w:lang w:val="el" w:eastAsia="el"/>
        </w:rPr>
        <w:t xml:space="preserve"> Μετά την είσοδό του στην εφαρμογή, το φυσικό πρόσωπo καταχωρίζει στα εμφανιζόμενα στο σύστημα πεδία τα στοιχεία επικοινωνίας του, και ειδικότερα τη διεύθυνση ηλεκτρονικού ταχυδρομείου και τον αριθμό του κινητού τηλεφώνου και αιτείται την έκδοση της ψηφιακής χρεωστικής κάρτας και την πίστωση του σχετικού ποσού.</w:t>
      </w:r>
    </w:p>
    <w:p>
      <w:pPr>
        <w:pStyle w:val="MainText"/>
        <w:spacing w:before="120" w:after="0"/>
        <w:rPr>
          <w:lang w:val="el" w:eastAsia="el"/>
        </w:rPr>
      </w:pPr>
      <w:r>
        <w:rPr>
          <w:b/>
          <w:bCs/>
          <w:lang w:val="el" w:eastAsia="el"/>
        </w:rPr>
        <w:t>4.</w:t>
      </w:r>
      <w:r>
        <w:rPr>
          <w:lang w:val="el" w:eastAsia="el"/>
        </w:rPr>
        <w:t xml:space="preserve"> Για τον σκοπό της επαλήθευσης των προϋποθέσεων της παρ. 1, το πληροφοριακό σύστημα της εφαρμογής διαλειτουργεί με το Εθνικό Μητρώο Εμβολιασμών κατά του κορωνοϊού COVID-19 του άρθρου 55 του ν. 4764/ 2020 (Α’ 256) και το Φορολογικό Μητρώο της Ανεξάρτητης Αρχής Δημοσίων Εσόδων (Α.Α.Δ.Ε.) και αντλεί τα αναγκαία στοιχεία.</w:t>
      </w:r>
    </w:p>
    <w:p>
      <w:pPr>
        <w:pStyle w:val="MainText"/>
        <w:spacing w:before="120" w:after="0"/>
        <w:rPr>
          <w:lang w:val="el" w:eastAsia="el"/>
        </w:rPr>
      </w:pPr>
      <w:r>
        <w:rPr>
          <w:b/>
          <w:bCs/>
          <w:lang w:val="el" w:eastAsia="el"/>
        </w:rPr>
        <w:t>5.</w:t>
      </w:r>
      <w:r>
        <w:rPr>
          <w:lang w:val="el" w:eastAsia="el"/>
        </w:rPr>
        <w:t xml:space="preserve"> Η Ε.Δ.Υ.Τ.Ε. Α.Ε., υπό τον ρόλο της ως εκτελούσας την επεξεργασία των δεδομένων για λογαριασμό της Κ.τ.Π. Μ.Α.Ε., έχει την υποχρέωση λήψης και διαρκούς τήρησης των κατάλληλων και αναγκαίων τεχνικών και οργανωτικών μέτρων ασφάλειας των λαμβανομένων στοιχείων και, κατ’ ελάχιστον,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τις διατάξεις του Κανονισμού (ΕΕ) 2016/679 του Ευρωπαϊκού Κοινοβουλίου και του Συμβουλίου της 27ης Απριλίου 2016 (ΕΕ L 119) (Γενικού Κανονισμού για την Προστασία Δεδομένων - ΓΚΠΔ) και του ν. 4624/2019 (Α’ 137).</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έκδοσης της ψηφιακής χρεωστικής κάρτας από τα Κ.Ε.Π.</w:t>
      </w:r>
    </w:p>
    <w:p>
      <w:pPr>
        <w:pStyle w:val="MainText"/>
        <w:spacing w:before="120" w:after="0"/>
        <w:rPr>
          <w:lang w:val="el" w:eastAsia="el"/>
        </w:rPr>
      </w:pPr>
      <w:r>
        <w:rPr>
          <w:b/>
          <w:bCs/>
          <w:lang w:val="el" w:eastAsia="el"/>
        </w:rPr>
        <w:t>1.</w:t>
      </w:r>
      <w:r>
        <w:rPr>
          <w:lang w:val="el" w:eastAsia="el"/>
        </w:rPr>
        <w:t xml:space="preserve"> Η περιγραφόμενη στο άρθρο 1 διαδικασία έκδοσης της ψηφιακής χρεωστικής κάρτας μπορεί να πραγματοποιηθεί και μέσω των Κ.Ε.Π., από πιστοποιημένο υπάλληλο, κατόπιν σχετικής αίτησης του φυσικού προσώπου - δικαιούχου. Ο υπάλληλος του Κ.Ε.Π. εισέρχεται στην ειδική εφαρμογή κατόπιν αυθεντικοποίησής του με τους Κωδικούς Δημόσιας Διοίκησης. Στη συνέχεια, ο υπάλληλος καταχωρίζει στα πεδία που εμφανίζονται στο σύστημα τα εξής στοιχεία του φυσικού προσώπου: α) τον Αριθμό Μητρώου Κοινωνικής Ασφάλισης (Α.Μ.Κ.Α.) ή τον προσωρινό Αριθμό Μητρώου Κοινωνικής Ασφάλισης (Π.Α.Μ.Κ.Α.) ή τον Προσωρινό Αριθμό Ασφάλισης και Υγειονομικής Περίθαλψης Αλλοδαπού (Π.Α.Α.Υ.Π.Α.) και β) τα στοιχεία επικοινωνίας του, και ειδικότερα τη διεύθυνση ηλεκτρονικού ταχυδρομείου και τον αριθμό του κινητού τηλεφώνου και αιτείται έκδοση της ψηφιακής χρεωστικής κάρτας και την πίστωση του σχετικού ποσού για λογαριασμό του φυσικού προσώπου.</w:t>
      </w:r>
    </w:p>
    <w:p>
      <w:pPr>
        <w:pStyle w:val="MainText"/>
        <w:spacing w:before="120" w:after="0"/>
        <w:rPr>
          <w:lang w:val="el" w:eastAsia="el"/>
        </w:rPr>
      </w:pPr>
      <w:r>
        <w:rPr>
          <w:b/>
          <w:bCs/>
          <w:lang w:val="el" w:eastAsia="el"/>
        </w:rPr>
        <w:t>2.</w:t>
      </w:r>
      <w:r>
        <w:rPr>
          <w:lang w:val="el" w:eastAsia="el"/>
        </w:rPr>
        <w:t xml:space="preserve"> H ανωτέρω διαδικασία έκδοσης της ψηφιακής χρεωστικής κάρτας δύναται να πραγματοποιείται και με εξουσιοδότηση του εκπροσώπου του φυσικού προσώπου.</w:t>
      </w:r>
    </w:p>
    <w:p>
      <w:pPr>
        <w:pStyle w:val="MainText"/>
        <w:spacing w:before="120" w:after="0"/>
        <w:rPr>
          <w:lang w:val="el" w:eastAsia="el"/>
        </w:rPr>
      </w:pPr>
      <w:r>
        <w:rPr>
          <w:b/>
          <w:bCs/>
          <w:lang w:val="el" w:eastAsia="el"/>
        </w:rPr>
        <w:t>3.</w:t>
      </w:r>
      <w:r>
        <w:rPr>
          <w:lang w:val="el" w:eastAsia="el"/>
        </w:rPr>
        <w:t xml:space="preserve"> Για την εξυπηρέτηση των χρηστών του πληροφοριακού συστήματος, διατίθεται εγχειρίδιο χρήσης της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Πίστωση της οικονομικής διευκόλυνσης και ενεργοποίηση ψηφιακής χρεωστικής κάρτας</w:t>
      </w:r>
    </w:p>
    <w:p>
      <w:pPr>
        <w:pStyle w:val="MainText"/>
        <w:spacing w:before="120" w:after="0"/>
        <w:rPr>
          <w:lang w:val="el" w:eastAsia="el"/>
        </w:rPr>
      </w:pPr>
      <w:r>
        <w:rPr>
          <w:b/>
          <w:bCs/>
          <w:lang w:val="el" w:eastAsia="el"/>
        </w:rPr>
        <w:t>1.</w:t>
      </w:r>
      <w:r>
        <w:rPr>
          <w:lang w:val="el" w:eastAsia="el"/>
        </w:rPr>
        <w:t xml:space="preserve"> Μετά την ολοκλήρωση της υποβολής της αίτησης του φυσικού προσώπου σύμφωνα με τα άρθρα 1 και 2 και εφόσον επαληθευθεί η ιδιότητά του ως δικαιούχου, η Κ.τ.Π. Μ.Α.Ε. διαβιβάζει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και τον αριθμό κινητού τηλεφώνου του δικαιούχου, για τον σκοπό της έκδοσης της ψηφιακής χρεωστικής κάρτας και της πίστωσης του ποσού της οικονομικής διευκόλυνσης, και εμβάζει, ταυτόχρονα, στο πιστωτικό ίδρυμα ή τον χρηματοπιστωτικό οργανισμό το χρηματικό ποσό που αντιστοιχεί στον δικαιούχο.</w:t>
      </w:r>
    </w:p>
    <w:p>
      <w:pPr>
        <w:pStyle w:val="MainText"/>
        <w:spacing w:before="120" w:after="0"/>
        <w:rPr>
          <w:lang w:val="el" w:eastAsia="el"/>
        </w:rPr>
      </w:pPr>
      <w:r>
        <w:rPr>
          <w:b/>
          <w:bCs/>
          <w:lang w:val="el" w:eastAsia="el"/>
        </w:rPr>
        <w:t>2.</w:t>
      </w:r>
      <w:r>
        <w:rPr>
          <w:lang w:val="el" w:eastAsia="el"/>
        </w:rPr>
        <w:t xml:space="preserve"> Στη συνέχεια,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για την ενεργοποίηση της ψηφιακής χρεωστικής κάρτας και β) μήνυμα ηλεκτρονικού ταχυδρομείου (e-mail) στη διεύθυνση ηλεκτρονικού ταχυδρομείου που έχει δηλώσει ο δικαιούχος στην ειδική εφαρμογή με ενσωματωμένο σύνδεσμο για την ενεργοποίηση της ψηφιακής χρεωστικής κάρτας. Αφότου εισέλθει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w:t>
      </w:r>
    </w:p>
    <w:p>
      <w:pPr>
        <w:pStyle w:val="MainText"/>
        <w:spacing w:before="120" w:after="0"/>
        <w:rPr>
          <w:lang w:val="el" w:eastAsia="el"/>
        </w:rPr>
      </w:pPr>
      <w:r>
        <w:rPr>
          <w:b/>
          <w:bCs/>
          <w:lang w:val="el" w:eastAsia="el"/>
        </w:rPr>
        <w:t>3.</w:t>
      </w:r>
      <w:r>
        <w:rPr>
          <w:lang w:val="el" w:eastAsia="el"/>
        </w:rPr>
        <w:t xml:space="preserve"> Το πιστωθέν χρηματικό ποσό δύναται να χρησιμοποιείται αποκλειστικά από τον δικαιούχο για την πραγματοποίηση αγορών ή τη λήψη υπηρεσιών από επιχειρήσεις που δραστηριοποιούνται στους τομείς του τουρισμού, του πολιτισμού και των μεταφορών και φέρουν, ιδίως, τους Κωδικούς Κατηγορίας Εμπόρου (Merchant Category Codes - MCC) και τους Κωδικούς Αριθμούς Δραστηριότητας (Κ.Α.Δ.) που περιλαμβάνονται στα Παραρτήματα Ι και ΙΙ, αντίστοιχα, τα οποία αποτελούν αναπόσπαστο μέρος της παρούσας.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εκκαθάρισης</w:t>
      </w:r>
    </w:p>
    <w:p>
      <w:pPr>
        <w:spacing w:before="240" w:after="240"/>
        <w:rPr>
          <w:lang w:val="el" w:eastAsia="el"/>
        </w:rPr>
      </w:pPr>
      <w:r>
        <w:rPr>
          <w:lang w:val="el" w:eastAsia="el"/>
        </w:rPr>
        <w:t>της οικονομικής διευκόλυνσης</w:t>
      </w:r>
    </w:p>
    <w:p>
      <w:pPr>
        <w:pStyle w:val="MainText"/>
        <w:spacing w:before="120" w:after="0"/>
        <w:rPr>
          <w:lang w:val="el" w:eastAsia="el"/>
        </w:rPr>
      </w:pPr>
      <w:r>
        <w:rPr>
          <w:b/>
          <w:bCs/>
          <w:lang w:val="el" w:eastAsia="el"/>
        </w:rPr>
        <w:t>1.</w:t>
      </w:r>
      <w:r>
        <w:rPr>
          <w:lang w:val="el" w:eastAsia="el"/>
        </w:rPr>
        <w:t xml:space="preserve"> Αμέσως μετά την ημερομηνία απενεργοποίησης της ψηφιακής χρεωστικής κάρτας σύμφωνα με την παρ. 5 του άρθρου 34 του ν. 4816/2021, το πιστωτικό ίδρυμα ή ο χρηματοπιστωτικός οργανισμός ενημερώνει την Κ.τ.Π. Μ.Α.Ε. σχετικά με το συνολικό ποσό το οποίο, για οποιονδήποτε λόγο, δεν έχει πιστωθεί στους δικαιούχους ή δεν έχει χρησιμοποιηθεί από αυτούς και επιστρέφει το ανωτέρω ποσό στην Κ.τ.Π. Μ.Α.Ε.</w:t>
      </w:r>
    </w:p>
    <w:p>
      <w:pPr>
        <w:pStyle w:val="MainText"/>
        <w:spacing w:before="120" w:after="0"/>
        <w:rPr>
          <w:lang w:val="el" w:eastAsia="el"/>
        </w:rPr>
      </w:pPr>
      <w:r>
        <w:rPr>
          <w:b/>
          <w:bCs/>
          <w:lang w:val="el" w:eastAsia="el"/>
        </w:rPr>
        <w:t>2.</w:t>
      </w:r>
      <w:r>
        <w:rPr>
          <w:lang w:val="el" w:eastAsia="el"/>
        </w:rPr>
        <w:t xml:space="preserve"> Η περαιτέρω αναζήτησή των ανωτέρω ποσών από τον δικαιούχο αποκλείεται.</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Έναρξη παραγωγικής λειτουργίας</w:t>
      </w:r>
    </w:p>
    <w:p>
      <w:pPr>
        <w:spacing w:before="240" w:after="240"/>
        <w:rPr>
          <w:lang w:val="el" w:eastAsia="el"/>
        </w:rPr>
      </w:pPr>
      <w:r>
        <w:rPr>
          <w:lang w:val="el" w:eastAsia="el"/>
        </w:rPr>
        <w:t>Η παραγωγική λειτουργία της ειδικής εφαρμογής της παρ. 2 του άρθρου 34 του ν. 4816/2021 εκκινεί την 20ή.7.2021.</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Κωδικοί Κατηγορίας Εμπόρου (Merchant Category Codes - MCC)</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25"/>
        <w:gridCol w:w="54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εμπόρου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έως 3350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εταιρίες, αερομεταφορές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3351 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έως 3999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ξενοδοχειακές επιχειρήσεις /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λεωφορείων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μεταφορές/ ακτοπλοϊκά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Θαλάσσιων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μαρίνες/ παροχή υπηρεσιών σε μαρίνες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αερομεταφορές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αεροδρόμια/ αεροσταθμοί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ταξιδιωτικά πρακτορεία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σκαφών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8"/>
        <w:gridCol w:w="6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τροχόσπιτων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ξενοδοχειακές επιχειρήσεις /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κατασκηνώσεις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campings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ενοικιάσεις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Σινεμά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αίθουσες χορού, σχολεία, στούντιο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Θεατρικές επιχειρήσεις, πρακτορεία εισιτηρίων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ορχήστρες και μπάντες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εκθέσεις και τουριστικές ατραξιόν, μουσεία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υπηρεσίες αναψυχής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ΠΑΡΑΡΤΗΜΑ II</w:t>
            </w:r>
          </w:p>
          <w:p>
            <w:pPr>
              <w:spacing w:before="240"/>
              <w:rPr>
                <w:b w:val="0"/>
                <w:bCs w:val="0"/>
                <w:i w:val="0"/>
                <w:iCs w:val="0"/>
                <w:smallCaps w:val="0"/>
                <w:color w:val="000000"/>
                <w:lang w:val="el" w:eastAsia="el"/>
              </w:rPr>
            </w:pPr>
            <w:r>
              <w:rPr>
                <w:b/>
                <w:bCs/>
                <w:i w:val="0"/>
                <w:iCs w:val="0"/>
                <w:smallCaps w:val="0"/>
                <w:color w:val="000000"/>
                <w:lang w:val="el" w:eastAsia="el"/>
              </w:rPr>
              <w:t>Κωδικοί Αριθμοί Δραστηριότητας (Κ.Α.Δ.)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ΜΕΤΑΦΟΡΑ ΚΑΙ ΑΠΟΘΗΚΕΥΣΗ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ΔΡΑΣΤΗΡΙΟΤΗΤΕΣ ΥΠΗΡΕΣΙΩΝ ΠΑΡΟΧΗΣ ΚΑΤΑΛΥΜΑΤΟΣ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 χώροι κατασκήνωσης, εγκαταστάσεις για οχήματα αναψυχής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ΤΑΞΙΔΙΩΤΙΚΑ ΓΡΑΦΕΙΑ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Αλλες δραστηριότητες υπηρεσιών κρατήσεων και συναφείς δραστηριότητες</w:t>
            </w:r>
          </w:p>
        </w:tc>
      </w:tr>
    </w:tbl>
    <w:p>
      <w:pPr>
        <w:pStyle w:val="MainText"/>
        <w:spacing w:before="120" w:after="0"/>
        <w:rPr>
          <w:lang w:val="el" w:eastAsia="el"/>
        </w:rPr>
      </w:pPr>
      <w:r>
        <w:rPr>
          <w:b/>
          <w:bCs/>
          <w:lang w:val="el" w:eastAsia="el"/>
        </w:rPr>
        <w:t>77.</w:t>
      </w:r>
      <w:r>
        <w:rPr>
          <w:lang w:val="el" w:eastAsia="el"/>
        </w:rPr>
        <w:t xml:space="preserve"> 34</w:t>
      </w:r>
    </w:p>
    <w:p>
      <w:pPr>
        <w:spacing w:before="240" w:after="240"/>
        <w:rPr>
          <w:lang w:val="el" w:eastAsia="el"/>
        </w:rPr>
      </w:pPr>
      <w:r>
        <w:rPr>
          <w:lang w:val="el" w:eastAsia="el"/>
        </w:rPr>
        <w:t>Ενοικίαση και εκμίσθωση εξοπλισμού πλωτών μεταφορών</w:t>
      </w:r>
    </w:p>
    <w:p>
      <w:pPr>
        <w:spacing w:before="240" w:after="240"/>
        <w:rPr>
          <w:lang w:val="el" w:eastAsia="el"/>
        </w:rPr>
      </w:pPr>
      <w:r>
        <w:rPr>
          <w:b/>
          <w:bCs/>
          <w:lang w:val="el" w:eastAsia="el"/>
        </w:rPr>
        <w:t>ΚΑΔ ΤΕΧΝΕΣ, ΔΙΑΣΚΕΔΑΣΗ ΚΑΙ ΨΥΧΑΓΩΓΙΑ</w:t>
      </w:r>
    </w:p>
    <w:p>
      <w:pPr>
        <w:pStyle w:val="MainText"/>
        <w:spacing w:before="120" w:after="0"/>
        <w:rPr>
          <w:lang w:val="el" w:eastAsia="el"/>
        </w:rPr>
      </w:pPr>
      <w:r>
        <w:rPr>
          <w:b/>
          <w:bCs/>
          <w:lang w:val="el" w:eastAsia="el"/>
        </w:rPr>
        <w:t>90.01</w:t>
      </w:r>
      <w:r>
        <w:rPr>
          <w:lang w:val="el" w:eastAsia="el"/>
        </w:rPr>
        <w:t xml:space="preserve"> τέχνες του Θεάματος</w:t>
      </w:r>
    </w:p>
    <w:p>
      <w:pPr>
        <w:pStyle w:val="MainText"/>
        <w:spacing w:before="120" w:after="0"/>
        <w:rPr>
          <w:lang w:val="el" w:eastAsia="el"/>
        </w:rPr>
      </w:pPr>
      <w:r>
        <w:rPr>
          <w:b/>
          <w:bCs/>
          <w:lang w:val="el" w:eastAsia="el"/>
        </w:rPr>
        <w:t>90.02</w:t>
      </w:r>
      <w:r>
        <w:rPr>
          <w:lang w:val="el" w:eastAsia="el"/>
        </w:rPr>
        <w:t xml:space="preserve"> Υποστηρικτικές δραστηριότητες για τις τέχνες του Θεάματος</w:t>
      </w:r>
    </w:p>
    <w:p>
      <w:pPr>
        <w:pStyle w:val="MainText"/>
        <w:spacing w:before="120" w:after="0"/>
        <w:rPr>
          <w:lang w:val="el" w:eastAsia="el"/>
        </w:rPr>
      </w:pPr>
      <w:r>
        <w:rPr>
          <w:b/>
          <w:bCs/>
          <w:lang w:val="el" w:eastAsia="el"/>
        </w:rPr>
        <w:t>90.03</w:t>
      </w:r>
      <w:r>
        <w:rPr>
          <w:lang w:val="el" w:eastAsia="el"/>
        </w:rPr>
        <w:t xml:space="preserve"> Καλλιτεχνική δημιουργία</w:t>
      </w:r>
    </w:p>
    <w:p>
      <w:pPr>
        <w:pStyle w:val="MainText"/>
        <w:spacing w:before="120" w:after="0"/>
        <w:rPr>
          <w:lang w:val="el" w:eastAsia="el"/>
        </w:rPr>
      </w:pPr>
      <w:r>
        <w:rPr>
          <w:b/>
          <w:bCs/>
          <w:lang w:val="el" w:eastAsia="el"/>
        </w:rPr>
        <w:t>90.04</w:t>
      </w:r>
      <w:r>
        <w:rPr>
          <w:lang w:val="el" w:eastAsia="el"/>
        </w:rPr>
        <w:t xml:space="preserve"> Εκμετάλλευση αιθουσών Θεαμάτων και συναφείς δραστηριότητες</w:t>
      </w:r>
    </w:p>
    <w:p>
      <w:pPr>
        <w:pStyle w:val="MainText"/>
        <w:spacing w:before="120" w:after="0"/>
        <w:rPr>
          <w:lang w:val="el" w:eastAsia="el"/>
        </w:rPr>
      </w:pPr>
      <w:r>
        <w:rPr>
          <w:b/>
          <w:bCs/>
          <w:lang w:val="el" w:eastAsia="el"/>
        </w:rPr>
        <w:t>91.02</w:t>
      </w:r>
      <w:r>
        <w:rPr>
          <w:lang w:val="el" w:eastAsia="el"/>
        </w:rPr>
        <w:t xml:space="preserve"> Δραστηριότητες μουσείων</w:t>
      </w:r>
    </w:p>
    <w:p>
      <w:pPr>
        <w:pStyle w:val="MainText"/>
        <w:spacing w:before="120" w:after="0"/>
        <w:rPr>
          <w:lang w:val="el" w:eastAsia="el"/>
        </w:rPr>
      </w:pPr>
      <w:r>
        <w:rPr>
          <w:b/>
          <w:bCs/>
          <w:lang w:val="el" w:eastAsia="el"/>
        </w:rPr>
        <w:t>91.03</w:t>
      </w:r>
      <w:r>
        <w:rPr>
          <w:lang w:val="el" w:eastAsia="el"/>
        </w:rPr>
        <w:t xml:space="preserve"> Λειτουργία ιστορικών χώρων και κτιρίων και παρόμοιων πόλων έλξης επισκεπτών</w:t>
      </w:r>
    </w:p>
    <w:p>
      <w:pPr>
        <w:pStyle w:val="MainText"/>
        <w:spacing w:before="120" w:after="0"/>
        <w:rPr>
          <w:lang w:val="el" w:eastAsia="el"/>
        </w:rPr>
      </w:pPr>
      <w:r>
        <w:rPr>
          <w:b/>
          <w:bCs/>
          <w:lang w:val="el" w:eastAsia="el"/>
        </w:rPr>
        <w:t>93.29</w:t>
      </w:r>
      <w:r>
        <w:rPr>
          <w:lang w:val="el" w:eastAsia="el"/>
        </w:rPr>
        <w:t xml:space="preserve"> Άλλες δραστηριότητες διασκέδασης και ψυχαγωγίας</w:t>
      </w:r>
    </w:p>
    <w:p>
      <w:pPr>
        <w:pStyle w:val="MainText"/>
        <w:spacing w:before="120" w:after="0"/>
        <w:rPr>
          <w:lang w:val="el" w:eastAsia="el"/>
        </w:rPr>
      </w:pPr>
      <w:r>
        <w:rPr>
          <w:b/>
          <w:bCs/>
          <w:lang w:val="el" w:eastAsia="el"/>
        </w:rPr>
        <w:t>59.14</w:t>
      </w:r>
      <w:r>
        <w:rPr>
          <w:lang w:val="el" w:eastAsia="el"/>
        </w:rPr>
        <w:t xml:space="preserve"> Δραστηριότητες προβολής κινηματογραφικών ταινιών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Ανάπτυξης</w:t>
      </w:r>
    </w:p>
    <w:p>
      <w:pPr>
        <w:spacing w:before="240" w:after="240"/>
        <w:rPr>
          <w:lang w:val="el" w:eastAsia="el"/>
        </w:rPr>
      </w:pPr>
      <w:r>
        <w:rPr>
          <w:lang w:val="el" w:eastAsia="el"/>
        </w:rPr>
        <w:t>Οικονομικών και Επενδύσεων</w:t>
      </w:r>
    </w:p>
    <w:p>
      <w:pPr>
        <w:spacing w:before="240" w:after="240"/>
        <w:rPr>
          <w:lang w:val="el" w:eastAsia="el"/>
        </w:rPr>
      </w:pPr>
      <w:r>
        <w:rPr>
          <w:b/>
          <w:bCs/>
          <w:lang w:val="el" w:eastAsia="el"/>
        </w:rPr>
        <w:t>ΘΕΟΔΩΡΟΣ ΣΚΥΛΑΚΑΚΗΣ ΣΠΥΡΙΔΩΝ - ΑΔΩΝΙΣ ΓΕΩΡΓΙΑΔΗΣ</w:t>
      </w:r>
    </w:p>
    <w:p>
      <w:pPr>
        <w:spacing w:before="240" w:after="240"/>
        <w:rPr>
          <w:lang w:val="el" w:eastAsia="el"/>
        </w:rPr>
      </w:pPr>
      <w:r>
        <w:rPr>
          <w:lang w:val="el" w:eastAsia="el"/>
        </w:rPr>
        <w:t>Υγείας</w:t>
      </w:r>
    </w:p>
    <w:p>
      <w:pPr>
        <w:spacing w:before="240" w:after="240"/>
        <w:rPr>
          <w:lang w:val="el" w:eastAsia="el"/>
        </w:rPr>
      </w:pPr>
      <w:r>
        <w:rPr>
          <w:lang w:val="el" w:eastAsia="el"/>
        </w:rPr>
        <w:t>Υφυπουργός Ψηφιακής Διακυβέρνησης</w:t>
      </w:r>
    </w:p>
    <w:p>
      <w:pPr>
        <w:spacing w:before="240" w:after="240"/>
        <w:rPr>
          <w:lang w:val="el" w:eastAsia="el"/>
        </w:rPr>
      </w:pPr>
      <w:r>
        <w:rPr>
          <w:b/>
          <w:bCs/>
          <w:lang w:val="el" w:eastAsia="el"/>
        </w:rPr>
        <w:t>ΒΑΣΙΛΕΙΟΣ ΚΙΚΙΛΙΑΣ ΓΕΩΡΓΙΟΣ ΓΕΩΡΓΑΝΤΑΣ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