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Β.ΓΕΝΙΚΗ ΔΙΕΥΘΥΝΣΗ ΗΛΕΚΤΡΟΝΙΚΗΣ</w:t>
      </w:r>
    </w:p>
    <w:p>
      <w:pPr>
        <w:pStyle w:val="Title"/>
        <w:spacing w:before="120" w:after="360"/>
        <w:rPr>
          <w:lang w:val="el" w:eastAsia="el"/>
        </w:rPr>
      </w:pPr>
      <w:r>
        <w:rPr>
          <w:b/>
          <w:bCs/>
          <w:lang w:val="el" w:eastAsia="el"/>
        </w:rPr>
        <w:t>ΔΙΑΚΥΒΕΡΝΗΣΗΣ</w:t>
      </w:r>
    </w:p>
    <w:p>
      <w:pPr>
        <w:pStyle w:val="Title"/>
        <w:spacing w:before="120" w:after="360"/>
        <w:rPr>
          <w:lang w:val="el" w:eastAsia="el"/>
        </w:rPr>
      </w:pPr>
      <w:r>
        <w:rPr>
          <w:b/>
          <w:bCs/>
          <w:lang w:val="el" w:eastAsia="el"/>
        </w:rPr>
        <w:t>1) ΔΙΕΥΘΥΝΣΗ ΕΠΙΧΕΙΡΗΣΙΑΚΩΝ ΔΙΑΔΙΚΑΣΙΩΝ ΤΜΗΜΑΤΑ Β΄, Δ΄</w:t>
      </w:r>
    </w:p>
    <w:p>
      <w:pPr>
        <w:pStyle w:val="Title"/>
        <w:spacing w:before="120" w:after="360"/>
        <w:rPr>
          <w:lang w:val="el" w:eastAsia="el"/>
        </w:rPr>
      </w:pPr>
      <w:r>
        <w:rPr>
          <w:b/>
          <w:bCs/>
          <w:lang w:val="el" w:eastAsia="el"/>
        </w:rPr>
        <w:t>Τηλέφωνο: 2104802203</w:t>
      </w:r>
    </w:p>
    <w:p>
      <w:pPr>
        <w:pStyle w:val="Title"/>
        <w:spacing w:before="120" w:after="360"/>
        <w:rPr>
          <w:lang w:val="el" w:eastAsia="el"/>
        </w:rPr>
      </w:pPr>
      <w:r>
        <w:rPr>
          <w:b/>
          <w:bCs/>
          <w:lang w:val="el" w:eastAsia="el"/>
        </w:rPr>
        <w:t>2)ΔΙΕΥΘΥΝΣΗ ΑΝΑΠΤΥΞΗΣ ΦΟΡΟΛΟΓΙΚΩΝ</w:t>
      </w:r>
    </w:p>
    <w:p>
      <w:pPr>
        <w:pStyle w:val="Title"/>
        <w:spacing w:before="120" w:after="36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w:t>
      </w:r>
    </w:p>
    <w:p>
      <w:pPr>
        <w:spacing w:before="240" w:after="240"/>
        <w:rPr>
          <w:lang w:val="el" w:eastAsia="el"/>
        </w:rPr>
      </w:pPr>
      <w:r>
        <w:rPr>
          <w:lang w:val="el" w:eastAsia="el"/>
        </w:rPr>
        <w:t>4. Τις διατάξεις του ν.δ. 356/1974 «Περί κώδικος Εισπράξεως Δημοσίων εσόδων» (Α΄ 90 - Κ.Ε.Δ.Ε.).</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ιδίως το άρθρο 41.</w:t>
      </w:r>
    </w:p>
    <w:p>
      <w:pPr>
        <w:spacing w:before="240" w:after="240"/>
        <w:rPr>
          <w:lang w:val="el" w:eastAsia="el"/>
        </w:rPr>
      </w:pPr>
      <w:r>
        <w:rPr>
          <w:lang w:val="el" w:eastAsia="el"/>
        </w:rPr>
        <w:t>12. Τις διατάξεις της υποπαρ. Ε2 της παρ. Ε΄ του άρθρου πρώτου του ν. 4093/2012 (Α΄222), περί σύστασης θέσης Γενικού Γραμματέα Δημοσίων Εσόδων, σε συνδυασμό με τις διατάξεις της παρ. 1 του άρθρου 13 και της παρ. 10 του άρθρου 41 του ν. 4389/2016.</w:t>
      </w:r>
    </w:p>
    <w:p>
      <w:pPr>
        <w:spacing w:before="240" w:after="240"/>
        <w:rPr>
          <w:lang w:val="el" w:eastAsia="el"/>
        </w:rPr>
      </w:pPr>
      <w:r>
        <w:rPr>
          <w:lang w:val="el" w:eastAsia="el"/>
        </w:rPr>
        <w:t>13. 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1254/2020 απόφαση του Υφυπουργού Οικονομικών «Καθορισμός των λεπτομερειών εφαρμογής του άρθρου 2 της από 11-03-2020 Πράξης Νομοθετικού Περιεχομένου (Α΄ 55), η οποία κυρώθηκε με το άρθρο 2 του ν. 4682/2020 (Α΄ 76)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(Β΄5223).</w:t>
      </w:r>
    </w:p>
    <w:p>
      <w:pPr>
        <w:spacing w:before="240" w:after="240"/>
        <w:rPr>
          <w:lang w:val="el" w:eastAsia="el"/>
        </w:rPr>
      </w:pPr>
      <w:r>
        <w:rPr>
          <w:lang w:val="el" w:eastAsia="el"/>
        </w:rPr>
        <w:t>15. Την υπό στοιχεία Α. 1280/2020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(Β΄5639).</w:t>
      </w:r>
    </w:p>
    <w:p>
      <w:pPr>
        <w:spacing w:before="240" w:after="240"/>
        <w:rPr>
          <w:lang w:val="el" w:eastAsia="el"/>
        </w:rPr>
      </w:pPr>
      <w:r>
        <w:rPr>
          <w:lang w:val="el" w:eastAsia="el"/>
        </w:rPr>
        <w:t>16. Την υπό στοιχεία Α. 1015/2021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(Β΄246).</w:t>
      </w:r>
    </w:p>
    <w:p>
      <w:pPr>
        <w:spacing w:before="240" w:after="240"/>
        <w:rPr>
          <w:lang w:val="el" w:eastAsia="el"/>
        </w:rPr>
      </w:pPr>
      <w:r>
        <w:rPr>
          <w:lang w:val="el" w:eastAsia="el"/>
        </w:rPr>
        <w:t>17. Την υπό στοιχεία Α. 1029/2021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(Β΄617).</w:t>
      </w:r>
    </w:p>
    <w:p>
      <w:pPr>
        <w:spacing w:before="240" w:after="240"/>
        <w:rPr>
          <w:lang w:val="el" w:eastAsia="el"/>
        </w:rPr>
      </w:pPr>
      <w:r>
        <w:rPr>
          <w:lang w:val="el" w:eastAsia="el"/>
        </w:rPr>
        <w:t>18. Την υπό στοιχεία Α. 1071/2021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αντικατάσταση της υπό στοιχεία Α. 1056/18-03-2021 (Β΄1071) απόφαση» (Β΄1201, διόρθωση σφάλματος Β΄ 1513).</w:t>
      </w:r>
    </w:p>
    <w:p>
      <w:pPr>
        <w:spacing w:before="240" w:after="240"/>
        <w:rPr>
          <w:lang w:val="el" w:eastAsia="el"/>
        </w:rPr>
      </w:pPr>
      <w:r>
        <w:rPr>
          <w:lang w:val="el" w:eastAsia="el"/>
        </w:rPr>
        <w:t>19. Την υπό στοιχεία Α. 1096/2021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(Β΄1728).</w:t>
      </w:r>
    </w:p>
    <w:p>
      <w:pPr>
        <w:spacing w:before="240" w:after="240"/>
        <w:rPr>
          <w:lang w:val="el" w:eastAsia="el"/>
        </w:rPr>
      </w:pPr>
      <w:r>
        <w:rPr>
          <w:lang w:val="el" w:eastAsia="el"/>
        </w:rPr>
        <w:t>20. Την υπό στοιχεία Α. 1110/2021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(Β΄2092).</w:t>
      </w:r>
    </w:p>
    <w:p>
      <w:pPr>
        <w:spacing w:before="240" w:after="240"/>
        <w:rPr>
          <w:lang w:val="el" w:eastAsia="el"/>
        </w:rPr>
      </w:pPr>
      <w:r>
        <w:rPr>
          <w:lang w:val="el" w:eastAsia="el"/>
        </w:rPr>
        <w:t>21. Την υπό στοιχεία Α. 1147/2021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η οποία κυρώθηκε με το άρθρο 2 του ν.4682/2020 (Α΄76)» (Β΄2783).</w:t>
      </w:r>
    </w:p>
    <w:p>
      <w:pPr>
        <w:spacing w:before="240" w:after="240"/>
        <w:rPr>
          <w:lang w:val="el" w:eastAsia="el"/>
        </w:rPr>
      </w:pPr>
      <w:r>
        <w:rPr>
          <w:lang w:val="el" w:eastAsia="el"/>
        </w:rPr>
        <w:t>22.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(Α΄ 76).</w:t>
      </w:r>
    </w:p>
    <w:p>
      <w:pPr>
        <w:spacing w:before="240" w:after="240"/>
        <w:rPr>
          <w:lang w:val="el" w:eastAsia="el"/>
        </w:rPr>
      </w:pPr>
      <w:r>
        <w:rPr>
          <w:lang w:val="el" w:eastAsia="el"/>
        </w:rPr>
        <w:t>23. Την εισήγηση του Διοικητή της Ανεξάρτητης Αρχής Δημοσίων Εσόδων (Α.Α.Δ.Ε.).</w:t>
      </w:r>
    </w:p>
    <w:p>
      <w:pPr>
        <w:spacing w:before="240" w:after="240"/>
        <w:rPr>
          <w:lang w:val="el" w:eastAsia="el"/>
        </w:rPr>
      </w:pPr>
      <w:r>
        <w:rPr>
          <w:lang w:val="el" w:eastAsia="el"/>
        </w:rPr>
        <w:t>24.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Παρατείνεται η προθεσμία καταβολής της δόσης Ιουλίου 2021 ρυθμίσεων και διευκολύνσεων τμηματικής καταβολής βεβαιωμένων οφειλών στις Δ.Ο.Υ./Ελεγκτικά Κέντρα για τις επιχειρήσεις που έχουν ενεργό, κύριο κωδικό δραστηριότητας στις 20-032020 από τους αναγραφόμενους στο συνημμένο πίνακα, ο οποίος και αποτελεί αναπόσπαστο μέρος της παρούσας, ή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τα οποία είναι μεγαλύτερα από τα ακαθάριστα έσοδα που αντιστοιχούν στον κύριο ΚΑΔ στις 20-03-2020.</w:t>
      </w:r>
    </w:p>
    <w:p>
      <w:pPr>
        <w:spacing w:before="240" w:after="240"/>
        <w:rPr>
          <w:lang w:val="el" w:eastAsia="el"/>
        </w:rPr>
      </w:pPr>
      <w:r>
        <w:rPr>
          <w:lang w:val="el" w:eastAsia="el"/>
        </w:rPr>
        <w:t>Η εν λόγω δόση Ιουλίου καταβάλλεται μέχρι και την 31 Αυγούστου 2021.</w:t>
      </w:r>
    </w:p>
    <w:p>
      <w:pPr>
        <w:spacing w:before="240" w:after="240"/>
        <w:rPr>
          <w:lang w:val="el" w:eastAsia="el"/>
        </w:rPr>
      </w:pPr>
      <w:r>
        <w:rPr>
          <w:lang w:val="el" w:eastAsia="el"/>
        </w:rPr>
        <w:t>2. Από την εφαρμογή της παρούσας απόφασης εξαιρούνται: α) οι φορείς της Γενικής Κυβέρνησης, όπως ορίζονται στην παρ.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(εκτός από το Εθνικό Τυπογραφείο),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 με εξαίρεση τις υπηρεσίες φροντιστηρίου ξένων γλωσσών (85.59.11.02) και τις υπηρεσίες εργαστηρίου ελευθέρων σπουδών, εκτός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μεταλυκειακής εκπαίδευσης (85.59.13.03).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με εξαίρεση τις υπηρεσίες εκμετάλλευσης μηχανημάτων τυχερών παιχνιδιών (με κερματοδέκτη) (92.00.12.02), τις υπηρεσίες λαχείων, παιχνιδιών με αριθμούς και μπίνγκο (92.00.13),τις υπηρεσίες τυχερών παιχνιδιών σε απ ευθείας (on-line) σύνδεση (92.00.14), τις άλλες υπηρεσίες τυχερών παιχνιδιών (92.00.19), τις υπηρεσίες στοιχημάτων σε απ ευθείας (on-line) σύνδεση (92.00.21) και τις υπηρεσίες πρακτορείου ΠΡΟ-ΠΟ, “Πάμε ΣΤΟΙΧΗΜΑ” και ιπποδρομιακού στοιχήματος (92.00.29.01).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 και τις υπηρεσίες στάβλων ιπποδρομίων (93.19.13.05)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 με εξαίρεση τις υπηρεσίες πάρκων ψυχαγωγίας και θεματικών πάρκων (93.21.10) και τις υπηρεσίες γουότερ παρκ (νεροτσουλήθρων κ.λπ.) (93.21.10.01)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 με εξαίρεση τις υπηρεσίες εκμετάλλευσης θαλάσσιων λουτρών (93.29.11.02), Υπηρεσίες εκμετάλλευσης παιχνιδιών θάλασσας (θαλάσσιων ποδηλάτων, κανό και παρόμοιων ειδών αναψυχής) (93.29.11.04), υπηρεσίες μίσθωσης ομπρελών ή και καθισμάτων παραλιών (πλαζ) (93.29.11.05), υπηρεσίες διοργάνωσης υπαίθριων τουριστικών δραστηριοτήτων αναψυχής (93.29.19.08) και τις υπηρεσίες συνοδού-εμψυχωτή δραστηριοτήτων αναψυχής (93.29.19.09).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