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ΡΒ</w:t>
      </w:r>
    </w:p>
    <w:p>
      <w:pPr>
        <w:pStyle w:val="Title"/>
        <w:spacing w:before="120" w:after="360"/>
        <w:rPr>
          <w:lang w:val="el" w:eastAsia="el"/>
        </w:rPr>
      </w:pPr>
      <w:r>
        <w:rPr>
          <w:b/>
          <w:bCs/>
          <w:lang w:val="el" w:eastAsia="el"/>
        </w:rPr>
        <w:t>ΑΡΙΘ. Φ</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ΓΕΝΙΚΗ ΔΙΕΥΘΥΝΣΗ ΦΟΡΟΛΟΓΙΚΗΣ ΔΙΟΙΚΗΣΗΣ ΔΙΕΥΘΥΝΣΗ ΕΦΑΡΜΟΓΗΣ ΑΜΕΣΗΣ ΦΟΡΟΛΟΓΙΑΣ</w:t>
      </w:r>
      <w:r>
        <w:rPr>
          <w:lang w:val="el" w:eastAsia="el"/>
        </w:rPr>
        <w:t>-</w:t>
      </w:r>
      <w:r>
        <w:rPr>
          <w:b/>
          <w:bCs/>
          <w:lang w:val="el" w:eastAsia="el"/>
        </w:rPr>
        <w:t>ΤΜΗΜΑ Α΄</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ΥΠΟΔΙΕΥΘΥΝΣΗ Α΄ ΑΠΑΙΤΗΣΕΩΝ ΚΑΙ ΕΛΕΓΧΟΥ ΕΦΑΡΜΟΓΩΝ ΦΟΡΟΛΟΓΙΑΣ- ΤΜΗΜΑ Α΄</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ΕΦΑΡΜΟΓΩΝ-ΤΜΗΜΑ Α΄</w:t>
      </w:r>
    </w:p>
    <w:p>
      <w:pPr>
        <w:pStyle w:val="PreambelText"/>
        <w:spacing w:before="240" w:after="240"/>
        <w:rPr>
          <w:lang w:val="el" w:eastAsia="el"/>
        </w:rPr>
      </w:pPr>
      <w:r>
        <w:rPr>
          <w:b/>
          <w:bCs/>
          <w:lang w:val="el" w:eastAsia="el"/>
        </w:rPr>
        <w:t>ΘΕΜΑ: Έκδοση πράξεων εκτιμώμενου προσδιορισμού φόρου εισοδήματος φυσικών προσώπων, ειδικής εισφοράς αλληλεγγύης, τέλους επιτηδεύματος και φόρου πολυτελούς διαβίωσης για τα φορολογικά έτη 2015 και επόμενα</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4174/2013 (Α΄170) και ειδικότερα των άρθρων 18, 33, 37, 41 62, 63 και 63Β.</w:t>
      </w:r>
    </w:p>
    <w:p>
      <w:pPr>
        <w:pStyle w:val="PreambelText"/>
        <w:spacing w:before="240" w:after="240"/>
        <w:rPr>
          <w:lang w:val="el" w:eastAsia="el"/>
        </w:rPr>
      </w:pPr>
      <w:r>
        <w:rPr>
          <w:lang w:val="el" w:eastAsia="el"/>
        </w:rPr>
        <w:t>2. Τις διατάξεις του ν. 4172/2013 (Α΄167).</w:t>
      </w:r>
    </w:p>
    <w:p>
      <w:pPr>
        <w:pStyle w:val="PreambelText"/>
        <w:spacing w:before="240" w:after="240"/>
        <w:rPr>
          <w:lang w:val="el" w:eastAsia="el"/>
        </w:rPr>
      </w:pPr>
      <w:r>
        <w:rPr>
          <w:lang w:val="el" w:eastAsia="el"/>
        </w:rPr>
        <w:t>3. Τις διατάξεις των άρθρων 29 και 31 του ν. 3986/2011, (Α΄ 152).</w:t>
      </w:r>
    </w:p>
    <w:p>
      <w:pPr>
        <w:pStyle w:val="PreambelText"/>
        <w:spacing w:before="240" w:after="240"/>
        <w:rPr>
          <w:lang w:val="el" w:eastAsia="el"/>
        </w:rPr>
      </w:pPr>
      <w:r>
        <w:rPr>
          <w:lang w:val="el" w:eastAsia="el"/>
        </w:rPr>
        <w:t>4. Τις διατάξεις του άρθρου 44 του ν. 4111/2013 (Α΄18).</w:t>
      </w:r>
    </w:p>
    <w:p>
      <w:pPr>
        <w:pStyle w:val="PreambelText"/>
        <w:spacing w:before="240" w:after="240"/>
        <w:rPr>
          <w:lang w:val="el" w:eastAsia="el"/>
        </w:rPr>
      </w:pPr>
      <w:r>
        <w:rPr>
          <w:lang w:val="el" w:eastAsia="el"/>
        </w:rPr>
        <w:t>5. Τις διατάξεις της παρ. 1 του άρθρου 18 του ν. 3522/2006 (Α΄276).</w:t>
      </w:r>
    </w:p>
    <w:p>
      <w:pPr>
        <w:pStyle w:val="PreambelText"/>
        <w:spacing w:before="240" w:after="240"/>
        <w:rPr>
          <w:lang w:val="el" w:eastAsia="el"/>
        </w:rPr>
      </w:pPr>
      <w:r>
        <w:rPr>
          <w:lang w:val="el" w:eastAsia="el"/>
        </w:rPr>
        <w:t>6. Τις διατάξεις του Κεφαλαίου Α΄ «Σύσταση Ανεξάρτητης Αρχής Δημοσίων Εσόδων» του Πρώτου Μέρους του ν. 4389/2016 (Α΄94)και ειδικότερα των άρθρων 1, 2, 7, 13 14, 17 και 41.</w:t>
      </w:r>
    </w:p>
    <w:p>
      <w:pPr>
        <w:pStyle w:val="PreambelText"/>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 39/3/30.11.2017 απόφαση του Συμβουλίου Διοίκησης της Α.Α.Δ.Ε. «Ανανέωση της θητείας του Διοικητή της Α.Α.ΔΕ.» (Υ.Ο.Δ.Δ. 689)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υπό στοιχεία Δ.ΟΡΓ.Α 1125859 ΕΞ 2020 απόφαση του Διοικητή Α.Α.Δ.Ε. «Οργανισμός της Ανεξάρτητης Αρχής Δημοσίων Εσόδων (Α.Α.Δ.Ε.)» (Β΄ 4738).</w:t>
      </w:r>
    </w:p>
    <w:p>
      <w:pPr>
        <w:pStyle w:val="PreambelText"/>
        <w:spacing w:before="240" w:after="240"/>
        <w:rPr>
          <w:lang w:val="el" w:eastAsia="el"/>
        </w:rPr>
      </w:pPr>
      <w:r>
        <w:rPr>
          <w:lang w:val="el" w:eastAsia="el"/>
        </w:rPr>
        <w:t>9. Την υπό στοιχεία Δ. ΟΡΓ. Α 1115805 ΕΞ 2017/4.8.2017 (Β΄ 2743) απόφαση του Διοικητή Α.Α.Δ.Ε. περί μεταβίβασης αρμοδιοτήτων και εξουσιοδότησης υπογραφής «Με εντολή Διοικητή» σε όργανα της Φορολογικής Διοίκησης.</w:t>
      </w:r>
    </w:p>
    <w:p>
      <w:pPr>
        <w:pStyle w:val="PreambelText"/>
        <w:spacing w:before="240" w:after="240"/>
        <w:rPr>
          <w:lang w:val="el" w:eastAsia="el"/>
        </w:rPr>
      </w:pPr>
      <w:r>
        <w:rPr>
          <w:lang w:val="el" w:eastAsia="el"/>
        </w:rPr>
        <w:t>10. Το γεγονός ότι φυσικά πρόσωπα, κατά τα φορολογικά έτη 2015 και επόμενα, δεν υπέβαλαν δηλώσεις φορολογίας εισοδήματος, παρότι υπήρχε η σχετική υποχρέωση σύμφωνα με τις διατάξεις του ν. 4172/2013.</w:t>
      </w:r>
    </w:p>
    <w:p>
      <w:pPr>
        <w:pStyle w:val="PreambelText"/>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Προϋποθέσεις έκδοσης πράξεωνεκτιμώμενου προσδιορισμού φόρου εισοδήματος</w:t>
      </w:r>
    </w:p>
    <w:p>
      <w:pPr>
        <w:spacing w:before="240" w:after="240"/>
        <w:rPr>
          <w:lang w:val="el" w:eastAsia="el"/>
        </w:rPr>
      </w:pPr>
      <w:r>
        <w:rPr>
          <w:lang w:val="el" w:eastAsia="el"/>
        </w:rPr>
        <w:t>Για τα φορολογικά έτη 2015 και επόμενα στις περιπτώσεις που φορολογούμενοι φυσικά πρόσωπα, παρά την υποχρέωσή τους να υποβάλουν δήλωση φόρου εισοδήματος σύμφωνα με τις διατάξεις των άρθρων 3 και 67 του ν. 4172/2013 (εφεξής ΚΦΕ), δεν την υπέβαλαν, εκδίδεται πράξη εκτιμώμενου προσδιορισμού φόρου εισοδήματος φυσικών προσώπων με την προϋπόθεση ότι από τα στοιχεία που έχει στη διάθεσή της η Φορολογική Διοίκηση προκύπτει:</w:t>
      </w:r>
    </w:p>
    <w:p>
      <w:pPr>
        <w:pStyle w:val="StructureList1"/>
        <w:spacing w:before="120" w:after="0"/>
        <w:rPr>
          <w:lang w:val="el" w:eastAsia="el"/>
        </w:rPr>
      </w:pPr>
      <w:r>
        <w:rPr>
          <w:lang w:val="el" w:eastAsia="el"/>
        </w:rPr>
        <w:t>α)</w:t>
      </w:r>
      <w:r>
        <w:rPr>
          <w:lang w:val="en" w:eastAsia="en"/>
        </w:rPr>
        <w:tab/>
      </w:r>
      <w:r>
        <w:rPr>
          <w:lang w:val="el" w:eastAsia="el"/>
        </w:rPr>
        <w:t>φορολογητέα ύλη για τον κατ΄ εκτίμηση προσδιορισμό της φορολογικής υποχρέωσης και β) ποσό φόρου προς βεβαίωση για τον φορολογούμενο που υπερβαίνει το ποσό των τριάντα (30) ευρώ.</w:t>
      </w:r>
    </w:p>
    <w:p>
      <w:pPr>
        <w:spacing w:before="240" w:after="240"/>
        <w:rPr>
          <w:lang w:val="el" w:eastAsia="el"/>
        </w:rPr>
      </w:pPr>
      <w:r>
        <w:rPr>
          <w:lang w:val="el" w:eastAsia="el"/>
        </w:rPr>
        <w:t>Με την ίδια πράξη εκτιμώμενου προσδιορισμού υπολογίζεται η ειδική εισφορά αλληλεγγύης του άρθρου 29 του ν. 3986/2011 ή του άρθρου 43Α του ΚΦΕ, το τέλος επιτηδεύματος του άρθρου 31 του ν. 3986/2011 και ο φόρος πολυτελούς διαβίωσης (άρθρο 44 του ν. 4111/2013) στα φυσικά πρόσωπα, κατά περίπτωση.</w:t>
      </w:r>
    </w:p>
    <w:p>
      <w:pPr>
        <w:spacing w:before="240" w:after="240"/>
        <w:rPr>
          <w:lang w:val="el" w:eastAsia="el"/>
        </w:rPr>
      </w:pPr>
      <w:r>
        <w:rPr>
          <w:lang w:val="el" w:eastAsia="el"/>
        </w:rPr>
        <w:t>Σε περίπτωση εγγάμων ή μερών συμφώνου συμβίωσης δύναται να εκδίδεται πράξη εκτιμώμενου προσδιορισμού φόρου και για τους δύο συζύγους/μέρη συμφώνου συμβίωσης, εφόσον εξακολουθεί να υφίσταται η έγγαμη σχέση ή το Σύμφωνο Συμβίωσης μέχρι την ημερομηνία έκδοσης της πράξης εκτιμώμενου προσδιορισμού του φόρου.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Στοιχεία που λαμβάνονται υπόψη για τον προσδιορισμό του εισοδήματος κατά τηνέκδοση πράξης εκτιμώμενου προσδιορισμού φόρου εισοδήματος</w:t>
      </w:r>
    </w:p>
    <w:p>
      <w:pPr>
        <w:spacing w:before="240" w:after="240"/>
        <w:rPr>
          <w:lang w:val="el" w:eastAsia="el"/>
        </w:rPr>
      </w:pPr>
      <w:r>
        <w:rPr>
          <w:lang w:val="el" w:eastAsia="el"/>
        </w:rPr>
        <w:t>Η πράξη εκτιμώμενου προσδιορισμού φόρου εκδίδεται για εισόδημα που προκύπτει με βάση τα στοιχεία που λαμβάνονται από:</w:t>
      </w:r>
    </w:p>
    <w:p>
      <w:pPr>
        <w:pStyle w:val="StructureList1"/>
        <w:spacing w:before="120" w:after="0"/>
        <w:rPr>
          <w:lang w:val="el" w:eastAsia="el"/>
        </w:rPr>
      </w:pPr>
      <w:r>
        <w:rPr>
          <w:lang w:val="el" w:eastAsia="el"/>
        </w:rPr>
        <w:t>α)</w:t>
      </w:r>
      <w:r>
        <w:rPr>
          <w:lang w:val="en" w:eastAsia="en"/>
        </w:rPr>
        <w:tab/>
      </w:r>
      <w:r>
        <w:rPr>
          <w:lang w:val="el" w:eastAsia="el"/>
        </w:rPr>
        <w:t>τα ηλεκτρονικά αρχεία βεβαιώσεων αποδοχών ή συντάξεων, αμοιβών από επιχειρηματική δραστηριότητα και εισοδημάτων από μερίσματα, τόκους, δικαιώματα για τα φορολογικά έτη 2015 και επόμενα,</w:t>
      </w:r>
    </w:p>
    <w:p>
      <w:pPr>
        <w:pStyle w:val="StructureList1"/>
        <w:spacing w:before="120" w:after="0"/>
        <w:rPr>
          <w:lang w:val="el" w:eastAsia="el"/>
        </w:rPr>
      </w:pPr>
      <w:r>
        <w:rPr>
          <w:lang w:val="el" w:eastAsia="el"/>
        </w:rPr>
        <w:t>β)</w:t>
      </w:r>
      <w:r>
        <w:rPr>
          <w:lang w:val="en" w:eastAsia="en"/>
        </w:rPr>
        <w:tab/>
      </w:r>
      <w:r>
        <w:rPr>
          <w:lang w:val="el" w:eastAsia="el"/>
        </w:rPr>
        <w:t>διαθέσιμα στοιχεία που αφορούν λοιπά εισοδήματα και αντικειμενικές δαπάνες διαβίωσης ή απόκτησης περιουσιακών στοιχείων των άρθρων 31 και 32 του ΚΦΕ, τα οποία αποστέλλονται ετησίως δυνάμει της υπό στοιχεία ΠΟΛ.1033/2014 απόφασης ή περιλαμβάνονται στην τελευταία προ του έτους για το οποίο εκδίδεται πράξη εκτιμώμενου προσδιορισμού φόρου, υποβληθείσα δήλωση φόρου εισοδήματος και στην περιουσιακή κατάσταση του εκάστοτε έτους, όπως αυτή προκύπτει από το Ολοκληρωμένο Πληροφοριακό Σύστημα Περιουσιολογίου της Α.Α.Δ.Ε. ή</w:t>
      </w:r>
    </w:p>
    <w:p>
      <w:pPr>
        <w:pStyle w:val="StructureList1"/>
        <w:spacing w:before="120" w:after="0"/>
        <w:rPr>
          <w:lang w:val="el" w:eastAsia="el"/>
        </w:rPr>
      </w:pPr>
      <w:r>
        <w:rPr>
          <w:lang w:val="el" w:eastAsia="el"/>
        </w:rPr>
        <w:t>γ)</w:t>
      </w:r>
      <w:r>
        <w:rPr>
          <w:lang w:val="en" w:eastAsia="en"/>
        </w:rPr>
        <w:tab/>
      </w:r>
      <w:r>
        <w:rPr>
          <w:lang w:val="el" w:eastAsia="el"/>
        </w:rPr>
        <w:t>ηλεκτρονική βάση δεδομένων, που είναι διαθέσιμη στην Α.Α.Δ.Ε. και δύνανται να αφορούν την άσκηση επαγγελματικής ή επιχειρηματικής δραστηριότητας, καθώς επίσης και από στοιχεία που λήφθηκαν στο πλαίσιο της ανταλλαγής πληροφοριών για την εφαρμογή της διεθνούς διοικητικής συνεργασίας στο πεδίο της άμεσης φορολογίας ή</w:t>
      </w:r>
    </w:p>
    <w:p>
      <w:pPr>
        <w:pStyle w:val="StructureList1"/>
        <w:spacing w:before="120" w:after="0"/>
        <w:rPr>
          <w:lang w:val="el" w:eastAsia="el"/>
        </w:rPr>
      </w:pPr>
      <w:r>
        <w:rPr>
          <w:lang w:val="el" w:eastAsia="el"/>
        </w:rPr>
        <w:t>δ)</w:t>
      </w:r>
      <w:r>
        <w:rPr>
          <w:lang w:val="en" w:eastAsia="en"/>
        </w:rPr>
        <w:tab/>
      </w:r>
      <w:r>
        <w:rPr>
          <w:lang w:val="el" w:eastAsia="el"/>
        </w:rPr>
        <w:t>εν γένει κάθε διαθέσιμη πληροφορία από τρίτους που λαμβάνει η Φορολογική Διοίκηση, με βάση τις διατάξεις του άρθρου 15 του ν. 4174/2013 (εφεξής ΚΦΔ), η οποία εξυπηρετεί την ανάγκη διασταύρωσης των δηλούμενων εισοδημάτων, των παρακρατούμενων φόρων ή των δαπανών.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Τύπος και περιεχόμενο πράξηςεκτιμώμενου προσδιορισμού φόρου εισοδήματος</w:t>
      </w:r>
    </w:p>
    <w:p>
      <w:pPr>
        <w:spacing w:before="240" w:after="240"/>
        <w:rPr>
          <w:lang w:val="el" w:eastAsia="el"/>
        </w:rPr>
      </w:pPr>
      <w:r>
        <w:rPr>
          <w:lang w:val="el" w:eastAsia="el"/>
        </w:rPr>
        <w:t>Ο τύπος και το περιεχόμενο της πράξης εκτιμώμενου προσδιορισμού φόρου έχει ως το συνημμένο υπόδειγμα, το οποίο αποτελεί αναπόσπαστο μέρος της παρούσας και στο οποίο θα αποτυπώνονται το εκάστοτε φορολογικό έτος αναφοράς και οι κωδικοί του εντύπου Ε1 του ιδίου φορολογικού έτους, οι οποίοι χρησιμοποιήθηκαν για τον προσδιορισμό της φορολογητέας ύλης. Στην εκδοθείσα πράξη προσδιορισμού φόρου αναφέρεται ότι η Φορολογική Διοίκηση προέβη στον εκτιμώμενο προσδιορισμό φόρου λόγω μη υποβολής δήλωσης του φορολογούμενου μέχρι την ημερομηνία έκδοσης της πράξης εκτιμώμενου προσδιορισμού του φόρου. Επίσης, αναγράφονται τα στοιχεία εκείνα που έλαβε υπόψη της μέχρι την ως άνω ημερομηνία για τον κατ΄ εκτίμηση προσδιορισμό της φορολογικής του υποχρέωσης. Τα στοιχεία αυτά δύνανται να αναφέρονται και σε ξεχωριστό φύλλο, το οποίο αποτελεί αναπόσπαστο κομμάτι της πράξης του εκτιμώμενου προσδιορισμού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Τόκοι και πρόστιμα</w:t>
      </w:r>
    </w:p>
    <w:p>
      <w:pPr>
        <w:spacing w:before="240" w:after="240"/>
        <w:rPr>
          <w:lang w:val="el" w:eastAsia="el"/>
        </w:rPr>
      </w:pPr>
      <w:r>
        <w:rPr>
          <w:lang w:val="el" w:eastAsia="el"/>
        </w:rPr>
        <w:t>Επί του ποσού του φόρου που προσδιορίζεται με την πράξη εκτιμώμενου προσδιορισμού του φόρου δεν υπολογίζονται πρόστιμα του ΚΦΔ, υπολογίζεται όμως ο τόκος του άρθρου 53 του ΚΦΔ. Ως αφετηρία υπολογισμού του τόκου λαμβάνεται η λήξη της προθεσμίας κατά την οποία θα έπρεπε να είχε αρχικά καταβληθεί, βάσει του νόμου, ο φόρος που προκύπτει από την πράξη εκτιμώμενου προσδιορισμού.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Έκδοση - κοινοποίηση πράξης</w:t>
      </w:r>
    </w:p>
    <w:p>
      <w:pPr>
        <w:pStyle w:val="MainText"/>
        <w:spacing w:before="120" w:after="0"/>
        <w:rPr>
          <w:lang w:val="el" w:eastAsia="el"/>
        </w:rPr>
      </w:pPr>
      <w:r>
        <w:rPr>
          <w:b/>
          <w:bCs/>
          <w:lang w:val="el" w:eastAsia="el"/>
        </w:rPr>
        <w:t>1.</w:t>
      </w:r>
      <w:r>
        <w:rPr>
          <w:lang w:val="el" w:eastAsia="el"/>
        </w:rPr>
        <w:t xml:space="preserve"> Η πράξη εκτιμώμενου προσδιορισμού φόρου κοινοποιείται με βάση τις διατάξεις της περ. α΄ της παρ. 2 του άρθρου 5 του ΚΦΔ. Ο φορολογούμενος λαμβάνει στην προσωπική θυρίδα του στο taxisnet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Η πράξη εκτιμώμενου προσδιορισμού φόρου εκδίδεται και κοινοποιείται από την Φορολογική Διοίκηση εντός των προθεσμιών που ορίζονται από τις διατάξεις του άρθρου 36 του ΚΦΔ. Ο φορολογούμενος υποχρεούται σε καταβολή του οφειλόμενου με βάση την πράξη εκτιμώμενου προσδιορισμού φόρου εντός τριάντα (30) ημερών από την κοινοποίηση της πράξης αυτής, εκτός αν υποβάλει δήλωση φορολογίας εισοδήματος οπότε και εφαρμόζονται τα οριζόμενα στο άρθρο 6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Υποβολή Δήλωσης</w:t>
      </w:r>
    </w:p>
    <w:p>
      <w:pPr>
        <w:pStyle w:val="MainText"/>
        <w:spacing w:before="120" w:after="0"/>
        <w:rPr>
          <w:lang w:val="el" w:eastAsia="el"/>
        </w:rPr>
      </w:pPr>
      <w:r>
        <w:rPr>
          <w:b/>
          <w:bCs/>
          <w:lang w:val="el" w:eastAsia="el"/>
        </w:rPr>
        <w:t>1.</w:t>
      </w:r>
      <w:r>
        <w:rPr>
          <w:lang w:val="el" w:eastAsia="el"/>
        </w:rPr>
        <w:t xml:space="preserve"> Μετά την έκδοση της πράξης εκτιμώμενου προσδιορισμού του φόρου, ο φορολογούμενος δύναται να υποβάλει στην αρμόδια Δ.Ο.Υ. για το οικείο φορολογικό έτος δήλωση φορολογίας εισοδήματος, συνυποβάλλοντας τα απαραίτητα δικαιολογητικά, εντός των προθεσμιών που ορίζονται από τις διατάξεις των άρθρων 18 και 36 του ΚΦΔ.</w:t>
      </w:r>
    </w:p>
    <w:p>
      <w:pPr>
        <w:pStyle w:val="MainText"/>
        <w:spacing w:before="120" w:after="0"/>
        <w:rPr>
          <w:lang w:val="el" w:eastAsia="el"/>
        </w:rPr>
      </w:pPr>
      <w:r>
        <w:rPr>
          <w:b/>
          <w:bCs/>
          <w:lang w:val="el" w:eastAsia="el"/>
        </w:rPr>
        <w:t>2.</w:t>
      </w:r>
      <w:r>
        <w:rPr>
          <w:lang w:val="el" w:eastAsia="el"/>
        </w:rPr>
        <w:t xml:space="preserve"> Ειδικότερα, η δήλωση του φορολογούμενου, που υποβάλλεται ύστερα από την έκδοση πράξης εκτιμώμενου προσδιορισμού φόρου, με τα συνοδευτικά έγγραφα αυτής υποβάλλεται με ψηφιακή απεικόνιση (scan) μέσω μηνύματος ηλεκτρονικού ταχυδρομείου στον Προϊστάμενο της αρμόδιας Δ.Ο.Υ. ή (με φυσικό φάκελο) ταχυδρομικά, είτε, με συστημένη επιστολή ή με υπηρεσία ταχυμεταφοράς. Είναι επίσης, δυνατή η κατάθεσή της και στο γραφείο πρωτοκόλλου της Δ.Ο.Υ. Ημερομηνία υποβολής της δήλωσης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κατά περίπτωση.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δήλωσης και επέχει θέση απόδειξης παραλαβής εκ μέρους του αποδέκτη.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επιλέγει την αποστολή αίτησης με ψηφιακή απεικόνιση (scan) μέσω μηνύματος ηλεκτρονικού ταχυδρομείου, μπορεί να ανατρέξει στην ιστοσελίδα της Α.Α.Δ.Ε. (</w:t>
      </w:r>
      <w:hyperlink r:id="rId4" w:history="1">
        <w:r>
          <w:rPr>
            <w:rStyle w:val="Hyperlink"/>
            <w:color w:val="0000EE"/>
            <w:u w:color="0000EE"/>
            <w:lang w:val="el" w:eastAsia="el"/>
          </w:rPr>
          <w:t>www.aade.gr</w:t>
        </w:r>
      </w:hyperlink>
      <w:r>
        <w:rPr>
          <w:lang w:val="el" w:eastAsia="el"/>
        </w:rPr>
        <w:t>), στην οποία δημοσιοποιείται ο κατάλογος των διευθύνσεων ηλεκτρονικού ταχυδρομείου των αρμοδίων υπηρεσιών της Α.Α.Δ.Ε. για την αποστολή μηνυμάτων (htps://www.aade.gr/menoy/aade/epikoinonia).</w:t>
      </w:r>
    </w:p>
    <w:p>
      <w:pPr>
        <w:pStyle w:val="MainText"/>
        <w:spacing w:before="120" w:after="0"/>
        <w:rPr>
          <w:lang w:val="el" w:eastAsia="el"/>
        </w:rPr>
      </w:pPr>
      <w:r>
        <w:rPr>
          <w:b/>
          <w:bCs/>
          <w:lang w:val="el" w:eastAsia="el"/>
        </w:rPr>
        <w:t>4.</w:t>
      </w:r>
      <w:r>
        <w:rPr>
          <w:lang w:val="el" w:eastAsia="el"/>
        </w:rPr>
        <w:t xml:space="preserve"> Σε περίπτωση που ο φορολογούμενος υποβάλει δήλωση, η πράξη εκτιμώμενου προσδιορισμού φόρου παύει να ισχύει αυτοδικαίως, εκδίδεται άμεσα πράξη διοικητικού προσδιορισμού φόρου με βάση την υποβληθείσα δήλωση και τα σχετικά δικαιολογητικά, και βεβαιώνονται οι προσδιοριζόμενες με αυτή οφειλές. Στην περίπτωση που με βάση τη δήλωση και τα δικαιολογητικά προκύψει μικρότερο ποσό οφειλής, το επιπλέον βεβαιωθέν ποσό διαγράφεται, το δε τυχόν επιπλέον καταβληθέν ποσό επιστρέφεται κατά τα οριζόμενα στις διατάξεις του άρθρου 42 του ΚΦΔ.</w:t>
      </w:r>
    </w:p>
    <w:p>
      <w:pPr>
        <w:pStyle w:val="MainText"/>
        <w:spacing w:before="120" w:after="0"/>
        <w:rPr>
          <w:lang w:val="el" w:eastAsia="el"/>
        </w:rPr>
      </w:pPr>
      <w:r>
        <w:rPr>
          <w:b/>
          <w:bCs/>
          <w:lang w:val="el" w:eastAsia="el"/>
        </w:rPr>
        <w:t>5.</w:t>
      </w:r>
      <w:r>
        <w:rPr>
          <w:lang w:val="el" w:eastAsia="el"/>
        </w:rPr>
        <w:t xml:space="preserve"> Στην περίπτωση της παρ. 1 επιβάλλονται οι κυρώσεις που προβλέπονται από τις διατάξεις του ΚΦΔ περί εκπρόθεσμης υποβολής δήλωσης. Για τον υπολογισμό των τόκων του άρθρου 53 του ΚΦΔ δεν υπολογίζεται το χρονικό διάστημα που μεσολαβεί από την υποβολή της δήλωσης μέχρι την έκδοση της πράξης διοικητικού προσδιορισμού φόρου.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Ακύρωση/τροποποίηση – </w:t>
      </w:r>
    </w:p>
    <w:p>
      <w:pPr>
        <w:spacing w:before="240" w:after="240"/>
        <w:rPr>
          <w:lang w:val="el" w:eastAsia="el"/>
        </w:rPr>
      </w:pPr>
      <w:r>
        <w:rPr>
          <w:b/>
          <w:bCs/>
          <w:lang w:val="el" w:eastAsia="el"/>
        </w:rPr>
        <w:t>αμφισβήτησητης πράξης εκτιμώμενου προσδιορισμού φόρου εισοδήματος</w:t>
      </w:r>
    </w:p>
    <w:p>
      <w:pPr>
        <w:pStyle w:val="MainText"/>
        <w:spacing w:before="120" w:after="0"/>
        <w:rPr>
          <w:lang w:val="el" w:eastAsia="el"/>
        </w:rPr>
      </w:pPr>
      <w:r>
        <w:rPr>
          <w:b/>
          <w:bCs/>
          <w:lang w:val="el" w:eastAsia="el"/>
        </w:rPr>
        <w:t>1.</w:t>
      </w:r>
      <w:r>
        <w:rPr>
          <w:lang w:val="el" w:eastAsia="el"/>
        </w:rPr>
        <w:t xml:space="preserve"> Σε περίπτωση πρόδηλης έλλειψης φορολογικής υποχρέωσης, αριθμητικού ή υπολογιστικού λάθους, η πράξη εκτιμώμενου προσδιορισμού φόρου δύναται να ακυρωθεί ή να τροποποιηθεί σύμφωνα με τις διατάξεις του άρθρου 63Β του ΚΦΔ.</w:t>
      </w:r>
    </w:p>
    <w:p>
      <w:pPr>
        <w:pStyle w:val="MainText"/>
        <w:spacing w:before="120" w:after="0"/>
        <w:rPr>
          <w:lang w:val="el" w:eastAsia="el"/>
        </w:rPr>
      </w:pPr>
      <w:r>
        <w:rPr>
          <w:b/>
          <w:bCs/>
          <w:lang w:val="el" w:eastAsia="el"/>
        </w:rPr>
        <w:t>2.</w:t>
      </w:r>
      <w:r>
        <w:rPr>
          <w:lang w:val="el" w:eastAsia="el"/>
        </w:rPr>
        <w:t xml:space="preserve"> Κατά της πράξης εκτιμώμενου προσδιορισμού του φόρου ο φορολογούμενος έχει τη δυνατότητα άσκησης ενδικοφανούς προσφυγής εντός προθεσμίας τριάντα (30) ημερών από την κοινοποίησή της, σύμφωνα με τις διατάξεις του άρθρου 63 ΚΦΔ.</w:t>
      </w:r>
    </w:p>
    <w:p>
      <w:pPr>
        <w:spacing w:before="240" w:after="240"/>
        <w:rPr>
          <w:lang w:val="el" w:eastAsia="el"/>
        </w:rPr>
      </w:pPr>
      <w:r>
        <w:rPr>
          <w:lang w:val="el" w:eastAsia="el"/>
        </w:rPr>
        <w:t>Η απόφαση αυτή να δημοσιευτεί στην Εφημερίδα της Κυβέρνησης.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Πίνακας Γ’</w:t>
      </w:r>
    </w:p>
    <w:p>
      <w:pPr>
        <w:pStyle w:val="MainText"/>
        <w:spacing w:before="120" w:after="0"/>
        <w:rPr>
          <w:lang w:val="el" w:eastAsia="el"/>
        </w:rPr>
      </w:pPr>
      <w:r>
        <w:rPr>
          <w:b/>
          <w:bCs/>
          <w:lang w:val="el" w:eastAsia="el"/>
        </w:rPr>
        <w:t>3.</w:t>
      </w:r>
      <w:r>
        <w:rPr>
          <w:lang w:val="el" w:eastAsia="el"/>
        </w:rPr>
        <w:t xml:space="preserve"> Γενική Διεύθυνση Ηλεκτρονικής Διακυβέρνησης</w:t>
      </w:r>
    </w:p>
    <w:p>
      <w:pPr>
        <w:spacing w:before="240" w:after="240"/>
        <w:rPr>
          <w:lang w:val="el" w:eastAsia="el"/>
        </w:rPr>
      </w:pPr>
      <w:r>
        <w:rPr>
          <w:lang w:val="el" w:eastAsia="el"/>
        </w:rPr>
        <w:t>Επιχειρησιακή Διεύθυνση ΣΔΟΕ Αττικής</w:t>
      </w:r>
    </w:p>
    <w:p>
      <w:pPr>
        <w:spacing w:before="240" w:after="240"/>
        <w:rPr>
          <w:lang w:val="el" w:eastAsia="el"/>
        </w:rPr>
      </w:pPr>
      <w:r>
        <w:rPr>
          <w:lang w:val="el" w:eastAsia="el"/>
        </w:rPr>
        <w:t>Επιχειρησιακή Διεύθυνση ΣΔΟΕ Μακεδονίας</w:t>
      </w:r>
    </w:p>
    <w:p>
      <w:pPr>
        <w:pStyle w:val="MainText"/>
        <w:spacing w:before="120" w:after="0"/>
        <w:rPr>
          <w:lang w:val="el" w:eastAsia="el"/>
        </w:rPr>
      </w:pPr>
      <w:r>
        <w:rPr>
          <w:b/>
          <w:bCs/>
          <w:lang w:val="el" w:eastAsia="el"/>
        </w:rPr>
        <w:t>6.</w:t>
      </w:r>
      <w:r>
        <w:rPr>
          <w:lang w:val="el" w:eastAsia="el"/>
        </w:rPr>
        <w:t xml:space="preserve"> Διεύθυνση Στρατηγικής Τεχνολογιών Πληροφορικής (για ανάρτηση στην ιστοσελίδα και την Ηλεκτρονική Βιβλιοθήκη της Α.Α.Δ.Ε.)</w:t>
      </w:r>
    </w:p>
    <w:p>
      <w:pPr>
        <w:pStyle w:val="MainText"/>
        <w:spacing w:before="120" w:after="0"/>
        <w:rPr>
          <w:lang w:val="el" w:eastAsia="el"/>
        </w:rPr>
      </w:pPr>
      <w:r>
        <w:rPr>
          <w:b/>
          <w:bCs/>
          <w:lang w:val="el" w:eastAsia="el"/>
        </w:rPr>
        <w:t>7.</w:t>
      </w:r>
      <w:r>
        <w:rPr>
          <w:lang w:val="el" w:eastAsia="el"/>
        </w:rPr>
        <w:t xml:space="preserve">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Γενικής Γραμματέως Φορολογικής Πολιτικής και Δημόσιας Περιουσίας</w:t>
      </w:r>
    </w:p>
    <w:p>
      <w:pPr>
        <w:pStyle w:val="MainText"/>
        <w:spacing w:before="120" w:after="0"/>
        <w:rPr>
          <w:lang w:val="el" w:eastAsia="el"/>
        </w:rPr>
      </w:pPr>
      <w:r>
        <w:rPr>
          <w:b/>
          <w:bCs/>
          <w:lang w:val="el" w:eastAsia="el"/>
        </w:rPr>
        <w:t>4.</w:t>
      </w:r>
      <w:r>
        <w:rPr>
          <w:lang w:val="el" w:eastAsia="el"/>
        </w:rPr>
        <w:t xml:space="preserve"> Πίνακες Α’, Β’, Δ’, Ζ΄, ’Η’, Θ’, Ι’, ΙΑ’, ΙΒ’, ΙΓ’, ΙΔ’, ΙΕ, ΙΖ, ΙΗ, ΙΘ’, Κ’, ΚΑ’, ΚΒ’ ΚΓ’</w:t>
      </w:r>
    </w:p>
    <w:p>
      <w:pPr>
        <w:pStyle w:val="MainText"/>
        <w:spacing w:before="120" w:after="0"/>
        <w:rPr>
          <w:lang w:val="el" w:eastAsia="el"/>
        </w:rPr>
      </w:pPr>
      <w:r>
        <w:rPr>
          <w:b/>
          <w:bCs/>
          <w:lang w:val="el" w:eastAsia="el"/>
        </w:rPr>
        <w:t>5.</w:t>
      </w:r>
      <w:r>
        <w:rPr>
          <w:lang w:val="el" w:eastAsia="el"/>
        </w:rPr>
        <w:t xml:space="preserve"> ΠΕΡΙΟΔΙΚΟ «ΦΟΡΟΛΟΓΙΚΗ ΕΠΙΘΕΩΡΗΣΗ»</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Γενική Διεύθυνση Φορολογικής Διοίκησης</w:t>
      </w:r>
    </w:p>
    <w:p>
      <w:pPr>
        <w:pStyle w:val="MainText"/>
        <w:spacing w:before="120" w:after="0"/>
        <w:rPr>
          <w:lang w:val="el" w:eastAsia="el"/>
        </w:rPr>
      </w:pPr>
      <w:r>
        <w:rPr>
          <w:b/>
          <w:bCs/>
          <w:lang w:val="el" w:eastAsia="el"/>
        </w:rPr>
        <w:t>3.</w:t>
      </w:r>
      <w:r>
        <w:rPr>
          <w:lang w:val="el" w:eastAsia="el"/>
        </w:rPr>
        <w:t xml:space="preserve"> Δ/νση Εφαρμογής Άμεσης Φορολογίας - Τμήματα Α΄ - Β΄ - Γ΄</w:t>
      </w:r>
    </w:p>
    <w:p>
      <w:pPr>
        <w:pStyle w:val="MainText"/>
        <w:spacing w:before="120" w:after="0"/>
        <w:rPr>
          <w:lang w:val="el" w:eastAsia="el"/>
        </w:rPr>
      </w:pPr>
      <w:r>
        <w:rPr>
          <w:b/>
          <w:bCs/>
          <w:lang w:val="el" w:eastAsia="el"/>
        </w:rPr>
        <w:t>4.</w:t>
      </w:r>
      <w:r>
        <w:rPr>
          <w:lang w:val="el" w:eastAsia="el"/>
        </w:rPr>
        <w:t xml:space="preserve"> Δ/νση Νομικής Υποστήριξης της Α.Α.Δ.Ε.</w:t>
      </w:r>
    </w:p>
    <w:p>
      <w:pPr>
        <w:pStyle w:val="MainText"/>
        <w:spacing w:before="120" w:after="0"/>
        <w:rPr>
          <w:lang w:val="el" w:eastAsia="el"/>
        </w:rPr>
      </w:pPr>
      <w:r>
        <w:rPr>
          <w:b/>
          <w:bCs/>
          <w:lang w:val="el" w:eastAsia="el"/>
        </w:rPr>
        <w:t>5.</w:t>
      </w:r>
      <w:r>
        <w:rPr>
          <w:lang w:val="el" w:eastAsia="el"/>
        </w:rPr>
        <w:t xml:space="preserve"> Γενική Διεύθυνση Ηλεκτρονικής Διακυβέρνησης</w:t>
      </w:r>
    </w:p>
    <w:p>
      <w:pPr>
        <w:pStyle w:val="MainText"/>
        <w:spacing w:before="120" w:after="0"/>
        <w:rPr>
          <w:lang w:val="el" w:eastAsia="el"/>
        </w:rPr>
      </w:pPr>
      <w:r>
        <w:rPr>
          <w:b/>
          <w:bCs/>
          <w:lang w:val="el" w:eastAsia="el"/>
        </w:rPr>
        <w:t>6.</w:t>
      </w:r>
      <w:r>
        <w:rPr>
          <w:lang w:val="el" w:eastAsia="el"/>
        </w:rPr>
        <w:t xml:space="preserve"> Δ/νση Επιχειρησιακών Διαδικασιών - Τμήμα Α΄</w:t>
      </w:r>
    </w:p>
    <w:p>
      <w:pPr>
        <w:pStyle w:val="MainText"/>
        <w:spacing w:before="120" w:after="0"/>
        <w:rPr>
          <w:lang w:val="el" w:eastAsia="el"/>
        </w:rPr>
      </w:pPr>
      <w:r>
        <w:rPr>
          <w:b/>
          <w:bCs/>
          <w:lang w:val="el" w:eastAsia="el"/>
        </w:rPr>
        <w:t>7.</w:t>
      </w:r>
      <w:r>
        <w:rPr>
          <w:lang w:val="el" w:eastAsia="el"/>
        </w:rPr>
        <w:t xml:space="preserve"> Δ/νση Ανάπτυξης Φορολογικών Εφαρμογών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