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98979 ΕΞ 10-08-2021</w:t>
      </w:r>
    </w:p>
    <w:p>
      <w:pPr>
        <w:pStyle w:val="Title"/>
        <w:spacing w:before="120" w:after="360"/>
        <w:rPr>
          <w:lang w:val="el" w:eastAsia="el"/>
        </w:rPr>
      </w:pPr>
      <w:r>
        <w:rPr>
          <w:lang w:val="el" w:eastAsia="el"/>
        </w:rPr>
        <w:t xml:space="preserve">Ηλεκτρονική Τιμολόγηση στο πλαίσιο των Δημοσίων Συμβάσεων δυνάμει του ν. 4601/2019 (Α΄ 44) </w:t>
      </w:r>
    </w:p>
    <w:p>
      <w:pPr>
        <w:pStyle w:val="PreambelText"/>
        <w:spacing w:before="240" w:after="240"/>
        <w:rPr>
          <w:lang w:val="el" w:eastAsia="el"/>
        </w:rPr>
      </w:pPr>
      <w:r>
        <w:rPr>
          <w:b/>
          <w:bCs/>
          <w:lang w:val="el" w:eastAsia="el"/>
        </w:rPr>
        <w:t>Αριθμ. οικ. 98979 ΕΞ 2021</w:t>
      </w:r>
    </w:p>
    <w:p>
      <w:pPr>
        <w:pStyle w:val="PreambelText"/>
        <w:spacing w:before="240" w:after="240"/>
        <w:rPr>
          <w:lang w:val="el" w:eastAsia="el"/>
        </w:rPr>
      </w:pPr>
      <w:r>
        <w:rPr>
          <w:lang w:val="el" w:eastAsia="el"/>
        </w:rPr>
        <w:t>(ΦΕΚ Β' 3766/13-08-2021 και διορθώσεις σφαλμάτων ΦΕΚ Β' 5406/22-11-2021)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ΕΠΙΚΡΑΤΕΙΑΣ - ΥΠΟΔΟΜΩΝ ΚΑΙ ΜΕΤΑΦΟΡΩΝ - ΕΘΝΙΚΗΣ ΑΜΥΝΑΣ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1.1 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τα άρθρα 148, 153 και την παρ.2 του άρθρου 154.</w:t>
      </w:r>
    </w:p>
    <w:p>
      <w:pPr>
        <w:pStyle w:val="PreambelText"/>
        <w:spacing w:before="240" w:after="240"/>
        <w:rPr>
          <w:lang w:val="el" w:eastAsia="el"/>
        </w:rPr>
      </w:pPr>
      <w:r>
        <w:rPr>
          <w:lang w:val="el" w:eastAsia="el"/>
        </w:rPr>
        <w:t>1.2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1.3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Του ν. 3978/2011 «Δημόσιες Συμβάσεις Έργων, Υπηρεσιών και Προμηθειών στους τομείς της Άμυνας και της Ασφάλειας Εναρμόνιση με την Οδηγία 2009/81/ ΕΚ Ρύθμιση θεμάτων του Υπουργείου Εθνικής Άμυνας» (Α΄ 137).</w:t>
      </w:r>
    </w:p>
    <w:p>
      <w:pPr>
        <w:pStyle w:val="PreambelText"/>
        <w:spacing w:before="240" w:after="240"/>
        <w:rPr>
          <w:lang w:val="el" w:eastAsia="el"/>
        </w:rPr>
      </w:pPr>
      <w:r>
        <w:rPr>
          <w:lang w:val="el" w:eastAsia="el"/>
        </w:rPr>
        <w:t>1.5 Του ν. 3979/2011 «Για την ηλεκτρονική διακυβέρνηση και λοιπές διατάξεις» (Α΄ 138).</w:t>
      </w:r>
    </w:p>
    <w:p>
      <w:pPr>
        <w:pStyle w:val="PreambelText"/>
        <w:spacing w:before="240" w:after="240"/>
        <w:rPr>
          <w:lang w:val="el" w:eastAsia="el"/>
        </w:rPr>
      </w:pPr>
      <w:r>
        <w:rPr>
          <w:lang w:val="el" w:eastAsia="el"/>
        </w:rPr>
        <w:t>1.6 Του ν. 4013/2011 «Σύσταση Ενιαίας Ανεξάρτητης Αρχής Δημοσίων Συμβάσεων και Κεντρικού Ηλεκτρονικού Μητρώου Δημοσίων Συμβάσεων Αντικατάσταση του έκτου κεφαλαίου του ν. 3588/2007 (πτωχευτικός κώδικας) Προπτωχευτική διαδικασία εξυγίανσης και άλλες διατάξεις» (Α΄ 204).</w:t>
      </w:r>
    </w:p>
    <w:p>
      <w:pPr>
        <w:pStyle w:val="PreambelText"/>
        <w:spacing w:before="240" w:after="240"/>
        <w:rPr>
          <w:lang w:val="el" w:eastAsia="el"/>
        </w:rPr>
      </w:pPr>
      <w:r>
        <w:rPr>
          <w:lang w:val="el" w:eastAsia="el"/>
        </w:rPr>
        <w:t>1.7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1.8 Του ν. 4413/2016 «Ανάθεση και εκτέλεση συμβάσεων παραχώρησης Εναρμόνιση με την Οδηγία 2014/23/ 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1.9 Του ν. 4152/2013 «Επείγοντα μέτρα εφαρμογής των νόμων 4046/2012, 4093/2012 και 4127/2013» (Α΄ 107).</w:t>
      </w:r>
    </w:p>
    <w:p>
      <w:pPr>
        <w:pStyle w:val="PreambelText"/>
        <w:spacing w:before="240" w:after="240"/>
        <w:rPr>
          <w:lang w:val="el" w:eastAsia="el"/>
        </w:rPr>
      </w:pPr>
      <w:r>
        <w:rPr>
          <w:lang w:val="el" w:eastAsia="el"/>
        </w:rPr>
        <w:t>1.10 Του ν. 4308/2014 «Ελληνικά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1.11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1.12 Του Κανονισμού (ΕΕ) υπ’ αρ.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pPr>
        <w:pStyle w:val="PreambelText"/>
        <w:spacing w:before="240" w:after="240"/>
        <w:rPr>
          <w:lang w:val="el" w:eastAsia="el"/>
        </w:rPr>
      </w:pPr>
      <w:r>
        <w:rPr>
          <w:lang w:val="el" w:eastAsia="el"/>
        </w:rPr>
        <w:t>1.13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1.14 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PreambelText"/>
        <w:spacing w:before="240" w:after="240"/>
        <w:rPr>
          <w:lang w:val="el" w:eastAsia="el"/>
        </w:rPr>
      </w:pPr>
      <w:r>
        <w:rPr>
          <w:lang w:val="el" w:eastAsia="el"/>
        </w:rPr>
        <w:t>1.15 Του π.δ. 25/2014 «Ηλεκτρονικό Αρχείο και Ψηφιοποίηση εγγράφων» (Α΄ 44).</w:t>
      </w:r>
    </w:p>
    <w:p>
      <w:pPr>
        <w:pStyle w:val="PreambelText"/>
        <w:spacing w:before="240" w:after="240"/>
        <w:rPr>
          <w:lang w:val="el" w:eastAsia="el"/>
        </w:rPr>
      </w:pPr>
      <w:r>
        <w:rPr>
          <w:lang w:val="el" w:eastAsia="el"/>
        </w:rPr>
        <w:t>1.16 Του π.δ. 147/2017 «Οργανισμός του Υπουργείου Οικονομίας και Ανάπτυξης» (Α΄ 192).</w:t>
      </w:r>
    </w:p>
    <w:p>
      <w:pPr>
        <w:pStyle w:val="PreambelText"/>
        <w:spacing w:before="240" w:after="240"/>
        <w:rPr>
          <w:lang w:val="el" w:eastAsia="el"/>
        </w:rPr>
      </w:pPr>
      <w:r>
        <w:rPr>
          <w:lang w:val="el" w:eastAsia="el"/>
        </w:rPr>
        <w:t>1.17 Του π.δ. 142/2017 «Οργανισμός του Υπουργείου Οικονομικών» (Α΄ 181).</w:t>
      </w:r>
    </w:p>
    <w:p>
      <w:pPr>
        <w:pStyle w:val="PreambelText"/>
        <w:spacing w:before="240" w:after="240"/>
        <w:rPr>
          <w:lang w:val="el" w:eastAsia="el"/>
        </w:rPr>
      </w:pPr>
      <w:r>
        <w:rPr>
          <w:lang w:val="el" w:eastAsia="el"/>
        </w:rPr>
        <w:t>1.18 Του π.δ. 40/2020 «Οργανισμός Υπουργείου Ψηφιακής Διακυβέρνησης» (Α΄ 85).</w:t>
      </w:r>
    </w:p>
    <w:p>
      <w:pPr>
        <w:pStyle w:val="PreambelText"/>
        <w:spacing w:before="240" w:after="240"/>
        <w:rPr>
          <w:lang w:val="el" w:eastAsia="el"/>
        </w:rPr>
      </w:pPr>
      <w:r>
        <w:rPr>
          <w:lang w:val="el" w:eastAsia="el"/>
        </w:rPr>
        <w:t>1.19 Του π.δ. 123/2017 «Οργανισμός του Υπουργείου Υποδομών και Μεταφορών» (Α΄ 151).</w:t>
      </w:r>
    </w:p>
    <w:p>
      <w:pPr>
        <w:pStyle w:val="PreambelText"/>
        <w:spacing w:before="240" w:after="240"/>
        <w:rPr>
          <w:lang w:val="el" w:eastAsia="el"/>
        </w:rPr>
      </w:pPr>
      <w:r>
        <w:rPr>
          <w:lang w:val="el" w:eastAsia="el"/>
        </w:rPr>
        <w:t>1.20 Του π.δ. 141/2017 «Οργανισμός του Υπουργείου Εσωτερικών» (Α΄ 180).</w:t>
      </w:r>
    </w:p>
    <w:p>
      <w:pPr>
        <w:pStyle w:val="PreambelText"/>
        <w:spacing w:before="240" w:after="240"/>
        <w:rPr>
          <w:lang w:val="el" w:eastAsia="el"/>
        </w:rPr>
      </w:pPr>
      <w:r>
        <w:rPr>
          <w:lang w:val="el" w:eastAsia="el"/>
        </w:rPr>
        <w:t>1.21 Του π.δ. 73/2006 «Διάρθρωση, αρμοδιότητες και στελέχωση των Γενικών Διευθύνσεων: α) Οικονομικού Σχεδιασμού και Υποστήριξης, β) Αμυντικών Εξοπλισμών και Επενδύσεων, και γ) Πολιτικής Εθνικής Άμυνας και Διεθνών Σχέσεων του Υπουργείου Εθνικής Άμυνας» (Α΄ 76).</w:t>
      </w:r>
    </w:p>
    <w:p>
      <w:pPr>
        <w:pStyle w:val="PreambelText"/>
        <w:spacing w:before="240" w:after="240"/>
        <w:rPr>
          <w:lang w:val="el" w:eastAsia="el"/>
        </w:rPr>
      </w:pPr>
      <w:r>
        <w:rPr>
          <w:lang w:val="el" w:eastAsia="el"/>
        </w:rPr>
        <w:t>1.22 Του π.δ. 79/2018 «Οργανισμός Πολιτικού Προσωπικού Υπουργείου Εθνικής Άμυνας» (Α΄ 148).</w:t>
      </w:r>
    </w:p>
    <w:p>
      <w:pPr>
        <w:pStyle w:val="PreambelText"/>
        <w:spacing w:before="240" w:after="240"/>
        <w:rPr>
          <w:lang w:val="el" w:eastAsia="el"/>
        </w:rPr>
      </w:pPr>
      <w:r>
        <w:rPr>
          <w:lang w:val="el" w:eastAsia="el"/>
        </w:rPr>
        <w:t>1.23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1.24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1.25 Του π.δ. 62/2020 «Διορισμός Αναπληρωτών Υπουργών και Υφυπουργών» (Α΄ 155).</w:t>
      </w:r>
    </w:p>
    <w:p>
      <w:pPr>
        <w:pStyle w:val="PreambelText"/>
        <w:spacing w:before="240" w:after="240"/>
        <w:rPr>
          <w:lang w:val="el" w:eastAsia="el"/>
        </w:rPr>
      </w:pPr>
      <w:r>
        <w:rPr>
          <w:lang w:val="el" w:eastAsia="el"/>
        </w:rPr>
        <w:t>1.26 Του π.δ. 84/2019 «Σύσταση και κατάργηση Γενικών Γραμματειών και΄ 123) «Σύσταση και κατάργηση Γενικών Γραμματειών και Ειδικών Γραμματειών/Ενιαίων Διοικητικών Τομέων Υπουργείων» (A΄ 123).</w:t>
      </w:r>
    </w:p>
    <w:p>
      <w:pPr>
        <w:pStyle w:val="PreambelText"/>
        <w:spacing w:before="240" w:after="240"/>
        <w:rPr>
          <w:lang w:val="el" w:eastAsia="el"/>
        </w:rPr>
      </w:pPr>
      <w:r>
        <w:rPr>
          <w:lang w:val="el" w:eastAsia="el"/>
        </w:rPr>
        <w:t>1.27 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Τις αποφάσεις:</w:t>
      </w:r>
    </w:p>
    <w:p>
      <w:pPr>
        <w:pStyle w:val="PreambelText"/>
        <w:spacing w:before="240" w:after="240"/>
        <w:rPr>
          <w:lang w:val="el" w:eastAsia="el"/>
        </w:rPr>
      </w:pPr>
      <w:r>
        <w:rPr>
          <w:lang w:val="el" w:eastAsia="el"/>
        </w:rPr>
        <w:t>2.1 Την υπό στοιχεία ΥΑΠ/Φ.40.4/1/989/10.4.2012 απόφαση του Υφυπουργού Διοικητικής Μεταρρύθμισης και Ηλεκτρονικής Διακυβέρνησης «Κύρωση Πλαισίου Παροχής Υπηρεσιών Ηλεκτρονικής Διακυβέρνησης» (Β΄1301).</w:t>
      </w:r>
    </w:p>
    <w:p>
      <w:pPr>
        <w:pStyle w:val="PreambelText"/>
        <w:spacing w:before="240" w:after="240"/>
        <w:rPr>
          <w:lang w:val="el" w:eastAsia="el"/>
        </w:rPr>
      </w:pPr>
      <w:r>
        <w:rPr>
          <w:lang w:val="el" w:eastAsia="el"/>
        </w:rPr>
        <w:t>2.2 Την υπό στοιχεία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(Β΄3990).</w:t>
      </w:r>
    </w:p>
    <w:p>
      <w:pPr>
        <w:pStyle w:val="PreambelText"/>
        <w:spacing w:before="240" w:after="240"/>
        <w:rPr>
          <w:lang w:val="el" w:eastAsia="el"/>
        </w:rPr>
      </w:pPr>
      <w:r>
        <w:rPr>
          <w:lang w:val="el" w:eastAsia="el"/>
        </w:rPr>
        <w:t>2.3 Την υπ’ αρ. 2/53983/0026/27-06-2019 κοινή απόφαση των Υπουργών Οικονομικών, Δικαιοσύνης, Διαφάνειας και Ανθρωπίνων Δικαιωμάτων και Διοικητικής Ανασυγκρότησης «Ηλεκτρονική διακίνηση δικαιολογητικών δαπανών» (Β΄2726).</w:t>
      </w:r>
    </w:p>
    <w:p>
      <w:pPr>
        <w:pStyle w:val="PreambelText"/>
        <w:spacing w:before="240" w:after="240"/>
        <w:rPr>
          <w:lang w:val="el" w:eastAsia="el"/>
        </w:rPr>
      </w:pPr>
      <w:r>
        <w:rPr>
          <w:lang w:val="el" w:eastAsia="el"/>
        </w:rPr>
        <w:t>2.4 Την υπ’ αρ. 64233/8.6.2021 κοινή απόφαση των Υπουργών Ανάπτυξης και Επενδύσεων και Επικρατείας «Ρυθμίσεις τεχνικών ζητημάτων που αφορούν την ανάθεση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(Β΄ 2453).</w:t>
      </w:r>
    </w:p>
    <w:p>
      <w:pPr>
        <w:pStyle w:val="PreambelText"/>
        <w:spacing w:before="240" w:after="240"/>
        <w:rPr>
          <w:lang w:val="el" w:eastAsia="el"/>
        </w:rPr>
      </w:pPr>
      <w:r>
        <w:rPr>
          <w:lang w:val="el" w:eastAsia="el"/>
        </w:rPr>
        <w:t>2.5 Την υπ’ αρ. 166278/25-6-2021, κοινή απόφαση των Υπουργών Οικονομικών, Υποδομών και Μεταφορών και Επικρατείας «Ρυθμίσεις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Δημοσίων Συμβάσεων (Ε.Σ.Η.ΔΗ.Σ.)» (Β΄ 2813).</w:t>
      </w:r>
    </w:p>
    <w:p>
      <w:pPr>
        <w:pStyle w:val="PreambelText"/>
        <w:spacing w:before="240" w:after="240"/>
        <w:rPr>
          <w:lang w:val="el" w:eastAsia="el"/>
        </w:rPr>
      </w:pPr>
      <w:r>
        <w:rPr>
          <w:lang w:val="el" w:eastAsia="el"/>
        </w:rPr>
        <w:t>2.6 Την υπό στοιχεία Υ2/2019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2.7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2.8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2.9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2.10 Την υπ’ αρ. 79595/2019 κοινή απόφαση του Πρωθυπουργού και του Υπουργού Ανάπτυξης και Επενδύσεων «Διορισμός μετακλητού Γενικού Γραμματέα Εμπορίου και Προστασίας Καταναλωτή του Υπουργείου Ανάπτυξης και Επενδύσεων» (Υ.Ο.Δ.Δ. 507).</w:t>
      </w:r>
    </w:p>
    <w:p>
      <w:pPr>
        <w:pStyle w:val="PreambelText"/>
        <w:spacing w:before="240" w:after="240"/>
        <w:rPr>
          <w:lang w:val="el" w:eastAsia="el"/>
        </w:rPr>
      </w:pPr>
      <w:r>
        <w:rPr>
          <w:lang w:val="el" w:eastAsia="el"/>
        </w:rPr>
        <w:t>2.11 Την υπό στοιχεία Υ22/17-6-2021 απόφαση του Πρωθυπουργού «Ανάθεση αρμοδιοτήτων στον Αναπληρωτή Υπουργό Εσωτερικών Στυλιανό Πέτσα» (Β΄ 2607).</w:t>
      </w:r>
    </w:p>
    <w:p>
      <w:pPr>
        <w:pStyle w:val="PreambelText"/>
        <w:spacing w:before="240" w:after="240"/>
        <w:rPr>
          <w:lang w:val="el" w:eastAsia="el"/>
        </w:rPr>
      </w:pPr>
      <w:r>
        <w:rPr>
          <w:lang w:val="el" w:eastAsia="el"/>
        </w:rPr>
        <w:t>3. Την υπό στοιχεία Γ2/1-2-2021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υπό στοιχεία 29651ΕΞ2020/11-3-2020 έκθεση της ΓΔΟΥ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εφαρμογής-Σκοπός</w:t>
      </w:r>
    </w:p>
    <w:p>
      <w:pPr>
        <w:pStyle w:val="MainText"/>
        <w:spacing w:before="120" w:after="0"/>
        <w:rPr>
          <w:lang w:val="el" w:eastAsia="el"/>
        </w:rPr>
      </w:pPr>
      <w:r>
        <w:rPr>
          <w:b/>
          <w:bCs/>
          <w:lang w:val="el" w:eastAsia="el"/>
        </w:rPr>
        <w:t>1.</w:t>
      </w:r>
      <w:r>
        <w:rPr>
          <w:lang w:val="el" w:eastAsia="el"/>
        </w:rPr>
        <w:t xml:space="preserve"> Η παρούσα εφαρμόζεται από τις κεντρικές κυβερνητικές αρχές και τις κεντρικές αρχές αγορών, καθώς και από τις μη κεντρικές αναθέτουσες αρχές και τους αναθέτοντες φορείς για την παραλαβή και επεξεργασία των ηλεκτρονικών τιμολογίων στο πλαίσιο των δημοσίων συμβάσεων που εμπίπτουν στο πεδίο εφαρμογής του άρθρου 148 του ν. 4601/2019.</w:t>
      </w:r>
    </w:p>
    <w:p>
      <w:pPr>
        <w:pStyle w:val="MainText"/>
        <w:spacing w:before="120" w:after="0"/>
        <w:rPr>
          <w:lang w:val="el" w:eastAsia="el"/>
        </w:rPr>
      </w:pPr>
      <w:r>
        <w:rPr>
          <w:b/>
          <w:bCs/>
          <w:lang w:val="el" w:eastAsia="el"/>
        </w:rPr>
        <w:t>2.</w:t>
      </w:r>
      <w:r>
        <w:rPr>
          <w:lang w:val="el" w:eastAsia="el"/>
        </w:rPr>
        <w:t xml:space="preserve"> Σκοπός της είναι ο καθορισμός της αρχιτεκτονικής, των διαδικασιών παραλαβής, επεξεργασίας και πληρωμής ηλεκτρονικού τιμολογίου, των απαιτήσεων διαλειτουργικότητας και διασύνδεσης με ολοκληρωμένα πληροφοριακά συστήματα του δημοσίου, των τεχνικών προϋποθέσεων ασφάλειας και προστασίας δεδομένων και κάθε άλλου τεχνικού και ειδικού θέματος αναγκαίου για την εφαρμογή της.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εξής ορισμοί:</w:t>
      </w:r>
    </w:p>
    <w:p>
      <w:pPr>
        <w:pStyle w:val="MainText"/>
        <w:spacing w:before="120" w:after="0"/>
        <w:rPr>
          <w:lang w:val="el" w:eastAsia="el"/>
        </w:rPr>
      </w:pPr>
      <w:r>
        <w:rPr>
          <w:b/>
          <w:bCs/>
          <w:lang w:val="el" w:eastAsia="el"/>
        </w:rPr>
        <w:t>1.</w:t>
      </w:r>
      <w:r>
        <w:rPr>
          <w:lang w:val="el" w:eastAsia="el"/>
        </w:rPr>
        <w:t xml:space="preserve"> «PEPPOL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pStyle w:val="MainText"/>
        <w:spacing w:before="120" w:after="0"/>
        <w:rPr>
          <w:lang w:val="el" w:eastAsia="el"/>
        </w:rPr>
      </w:pPr>
      <w:r>
        <w:rPr>
          <w:b/>
          <w:bCs/>
          <w:lang w:val="el" w:eastAsia="el"/>
        </w:rPr>
        <w:t>2.</w:t>
      </w:r>
      <w:r>
        <w:rPr>
          <w:lang w:val="el" w:eastAsia="el"/>
        </w:rPr>
        <w:t xml:space="preserve"> «OpenPEPPOL»: μη κερδοσκοπικός διεθνής οργανισμός με μέλη δημόσιους και ιδιωτικούς φορείς με σκοπό την ανάπτυξη και τη συντήρηση των προδιαγραφών PEPPOL, ήτοι των δομικών στοιχείων και των υπηρεσιών και της εφαρμογής αυτών σε όλη την Ευρώπη,</w:t>
      </w:r>
    </w:p>
    <w:p>
      <w:pPr>
        <w:pStyle w:val="MainText"/>
        <w:spacing w:before="120" w:after="0"/>
        <w:rPr>
          <w:lang w:val="el" w:eastAsia="el"/>
        </w:rPr>
      </w:pPr>
      <w:r>
        <w:rPr>
          <w:b/>
          <w:bCs/>
          <w:lang w:val="el" w:eastAsia="el"/>
        </w:rPr>
        <w:t>3.</w:t>
      </w:r>
      <w:r>
        <w:rPr>
          <w:lang w:val="el" w:eastAsia="el"/>
        </w:rPr>
        <w:t xml:space="preserve"> «κόμβος δικτύου»: σύστημα Τεχνολογίας Πληροφορικής και Επικοινωνιών (ΤΠΕ) που αποτελεί μέρος του δικτύου και ανήκει κάθε φορά σε φορέα που συμμετέχει στο δίκτυο,</w:t>
      </w:r>
    </w:p>
    <w:p>
      <w:pPr>
        <w:pStyle w:val="MainText"/>
        <w:spacing w:before="120" w:after="0"/>
        <w:rPr>
          <w:lang w:val="el" w:eastAsia="el"/>
        </w:rPr>
      </w:pPr>
      <w:r>
        <w:rPr>
          <w:b/>
          <w:bCs/>
          <w:lang w:val="el" w:eastAsia="el"/>
        </w:rPr>
        <w:t>4.</w:t>
      </w:r>
      <w:r>
        <w:rPr>
          <w:lang w:val="el" w:eastAsia="el"/>
        </w:rPr>
        <w:t xml:space="preserve"> «eDelivery»: αρχιτεκτονική κατανεμημένου δικτύου κόμβων για ψηφιακές επικοινωνίες, όπου κάθε κόμβος χρησιμοποιεί συγκεκριμένα προσυμφωνημένα πρότυπα πρωτόκολλα μεταφοράς και πολιτικές ασφάλειας για διαλειτουργική, ασφαλή, αξιόπιστη και εμπιστευτική ανταλλαγή δεδομένων και εγγράφων των δημοσίων φορέων με άλλους δημόσιους φορείς ή επιχειρήσεις και πολίτες,</w:t>
      </w:r>
    </w:p>
    <w:p>
      <w:pPr>
        <w:pStyle w:val="MainText"/>
        <w:spacing w:before="120" w:after="0"/>
        <w:rPr>
          <w:lang w:val="el" w:eastAsia="el"/>
        </w:rPr>
      </w:pPr>
      <w:r>
        <w:rPr>
          <w:b/>
          <w:bCs/>
          <w:lang w:val="el" w:eastAsia="el"/>
        </w:rPr>
        <w:t>5.</w:t>
      </w:r>
      <w:r>
        <w:rPr>
          <w:lang w:val="el" w:eastAsia="el"/>
        </w:rPr>
        <w:t xml:space="preserve"> «Delivery ΑS4/AS2 profile»: ανοικτή προδιαγραφή για την ασφαλή και αγνωστική ανταλλαγή δεδομένων μέσω υπηρεσιών παγκόσμιου ιστού (webservices) που βασίζεται στο πρότυπο ebMS 3.0 του φορέα OASIS,</w:t>
      </w:r>
    </w:p>
    <w:p>
      <w:pPr>
        <w:pStyle w:val="MainText"/>
        <w:spacing w:before="120" w:after="0"/>
        <w:rPr>
          <w:lang w:val="el" w:eastAsia="el"/>
        </w:rPr>
      </w:pPr>
      <w:r>
        <w:rPr>
          <w:b/>
          <w:bCs/>
          <w:lang w:val="el" w:eastAsia="el"/>
        </w:rPr>
        <w:t>6.</w:t>
      </w:r>
      <w:r>
        <w:rPr>
          <w:lang w:val="el" w:eastAsia="el"/>
        </w:rPr>
        <w:t xml:space="preserve"> «Organization for the Advancement of Structured Information Standards (OASIS)»: διεθνής μη κερδοσκοπική κοινοπραξία που ασχολείται με την ανάπτυξη, σύγκλιση και υιοθέτηση ανοικτών προτύπων για την ασφάλεια, το Διαδίκτυο των Πραγμάτων (Internet of Things), την ενέργεια, τις τεχνολογίες περιεχομένου, τη διαχείριση έκτακτων περιστατικών και άλλους τομείς,</w:t>
      </w:r>
    </w:p>
    <w:p>
      <w:pPr>
        <w:pStyle w:val="MainText"/>
        <w:spacing w:before="120" w:after="0"/>
        <w:rPr>
          <w:lang w:val="el" w:eastAsia="el"/>
        </w:rPr>
      </w:pPr>
      <w:r>
        <w:rPr>
          <w:b/>
          <w:bCs/>
          <w:lang w:val="el" w:eastAsia="el"/>
        </w:rPr>
        <w:t>7.</w:t>
      </w:r>
      <w:r>
        <w:rPr>
          <w:lang w:val="el" w:eastAsia="el"/>
        </w:rPr>
        <w:t xml:space="preserve"> «Σημείο Πρόσβασης (Acces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pStyle w:val="MainText"/>
        <w:spacing w:before="120" w:after="0"/>
        <w:rPr>
          <w:lang w:val="el" w:eastAsia="el"/>
        </w:rPr>
      </w:pPr>
      <w:r>
        <w:rPr>
          <w:b/>
          <w:bCs/>
          <w:lang w:val="el" w:eastAsia="el"/>
        </w:rPr>
        <w:t>8.</w:t>
      </w:r>
      <w:r>
        <w:rPr>
          <w:lang w:val="el" w:eastAsia="el"/>
        </w:rPr>
        <w:t xml:space="preserve"> «Πιστοποιημένο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pStyle w:val="MainText"/>
        <w:spacing w:before="120" w:after="0"/>
        <w:rPr>
          <w:lang w:val="el" w:eastAsia="el"/>
        </w:rPr>
      </w:pPr>
      <w:r>
        <w:rPr>
          <w:b/>
          <w:bCs/>
          <w:lang w:val="el" w:eastAsia="el"/>
        </w:rPr>
        <w:t>9.</w:t>
      </w:r>
      <w:r>
        <w:rPr>
          <w:lang w:val="el" w:eastAsia="el"/>
        </w:rPr>
        <w:t xml:space="preserve"> «Εθνική Αρχή PEPPOL (PEPPOL Authority)»: η Γενική Γραμματεία Πληροφοριακών Συστημάτων Δημόσιας Διοίκησης (Γ.Γ.Π.Σ.Δ.Δ.) του Υπουργείου Ψηφιακής Διακυβέρνησης, σύμφωνα με την παρ. 4 του άρθρου 28 του ν. 4623/2019 (Α΄134),</w:t>
      </w:r>
    </w:p>
    <w:p>
      <w:pPr>
        <w:pStyle w:val="MainText"/>
        <w:spacing w:before="120" w:after="0"/>
        <w:rPr>
          <w:lang w:val="el" w:eastAsia="el"/>
        </w:rPr>
      </w:pPr>
      <w:r>
        <w:rPr>
          <w:b/>
          <w:bCs/>
          <w:lang w:val="el" w:eastAsia="el"/>
        </w:rPr>
        <w:t>10.</w:t>
      </w:r>
      <w:r>
        <w:rPr>
          <w:lang w:val="el" w:eastAsia="el"/>
        </w:rPr>
        <w:t xml:space="preserve"> «Service Metadata Publis) και τεχνικών προδιαγραφών πουher (SMP)»: κόμβος του δικτύου eDelivery για την δημοσιοποίηση μεταδεδομένων σχετικά με τις προσφερόμενες στο δίκτυο eDelivery υπηρεσίες,</w:t>
      </w:r>
    </w:p>
    <w:p>
      <w:pPr>
        <w:pStyle w:val="MainText"/>
        <w:spacing w:before="120" w:after="0"/>
        <w:rPr>
          <w:lang w:val="el" w:eastAsia="el"/>
        </w:rPr>
      </w:pPr>
      <w:r>
        <w:rPr>
          <w:b/>
          <w:bCs/>
          <w:lang w:val="el" w:eastAsia="el"/>
        </w:rPr>
        <w:t>11.</w:t>
      </w:r>
      <w:r>
        <w:rPr>
          <w:lang w:val="el" w:eastAsia="el"/>
        </w:rPr>
        <w:t xml:space="preserve"> «Ευρωπαϊκός Μορφότυπος»: το ευρωπαϊκό πρότυπο έκδοσης ηλεκτρονικών τιμολογίων, όπως ορίζεται στην περ. 12 του άρθρου 149 του ν. 4601/2019,</w:t>
      </w:r>
    </w:p>
    <w:p>
      <w:pPr>
        <w:pStyle w:val="MainText"/>
        <w:spacing w:before="120" w:after="0"/>
        <w:rPr>
          <w:lang w:val="el" w:eastAsia="el"/>
        </w:rPr>
      </w:pPr>
      <w:r>
        <w:rPr>
          <w:b/>
          <w:bCs/>
          <w:lang w:val="el" w:eastAsia="el"/>
        </w:rPr>
        <w:t>12.</w:t>
      </w:r>
      <w:r>
        <w:rPr>
          <w:lang w:val="el" w:eastAsia="el"/>
        </w:rPr>
        <w:t xml:space="preserve"> «Εθνικός Μορφότυπος»: το περιεχόμενο και η μορφή του ηλεκτρονικού τιμολογίου στο πλαίσιο των εθνικών δημόσιων συμβάσεων, σύμφωνα με το ευρωπαϊκό πρότυπο έκδοσης ηλεκτρονικών τιμολογίων, όπως ειδικότερα καθορίζεται με την απόφαση της παρ.1 του άρθρου 154 του ν. 4601/2019,</w:t>
      </w:r>
    </w:p>
    <w:p>
      <w:pPr>
        <w:pStyle w:val="MainText"/>
        <w:spacing w:before="120" w:after="0"/>
        <w:rPr>
          <w:lang w:val="el" w:eastAsia="el"/>
        </w:rPr>
      </w:pPr>
      <w:r>
        <w:rPr>
          <w:b/>
          <w:bCs/>
          <w:lang w:val="el" w:eastAsia="el"/>
        </w:rPr>
        <w:t>13.</w:t>
      </w:r>
      <w:r>
        <w:rPr>
          <w:lang w:val="el" w:eastAsia="el"/>
        </w:rPr>
        <w:t xml:space="preserve"> «Κέντρο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14.</w:t>
      </w:r>
      <w:r>
        <w:rPr>
          <w:lang w:val="el" w:eastAsia="el"/>
        </w:rPr>
        <w:t xml:space="preserve"> «Εφαρμογή Διάθεσης Ηλεκτρονικών Τιμολογίων (ΕΔΗΤ) της Γενικής Γραμματείας Πληροφοριακών Συστημάτων Δημόσιας Διοίκησης»: Πληροφοριακό σύστημα της Γ.Γ.Π.Σ.Δ.Δ. για τη διάθεση των εισερχόμενων ηλεκτρονικών τιμολογίων στις αναθέτουσες αρχές στις περιπτώσεις που: α) δεν διαθέτουν πληροφοριακό σύστημα για την παραλαβή των ηλεκτρονικών τιμολογίων, β) δεν έχουν ολοκληρώσει την τεχνική προσαρμογή τους και γ) λόγω τεχνικής αδυναμίας δεν μπορούν να παραλάβουν τα ηλεκτρονικά τιμολόγια στα οικεία πληροφοριακά τους συστήματα,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15.</w:t>
      </w:r>
      <w:r>
        <w:rPr>
          <w:lang w:val="el" w:eastAsia="el"/>
        </w:rPr>
        <w:t xml:space="preserve"> «Σημείο Πρόσβασης του Δημοσίου»: μοναδικό σημείο υποδοχής τιμολογίων για τις δημόσιες συμβάσεις και προμήθειες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pStyle w:val="MainText"/>
        <w:spacing w:before="120" w:after="0"/>
        <w:rPr>
          <w:lang w:val="el" w:eastAsia="el"/>
        </w:rPr>
      </w:pPr>
      <w:r>
        <w:rPr>
          <w:b/>
          <w:bCs/>
          <w:lang w:val="el" w:eastAsia="el"/>
        </w:rPr>
        <w:t>16.</w:t>
      </w:r>
      <w:r>
        <w:rPr>
          <w:lang w:val="el" w:eastAsia="el"/>
        </w:rPr>
        <w:t xml:space="preserve"> «Εθνικό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pStyle w:val="MainText"/>
        <w:spacing w:before="120" w:after="0"/>
        <w:rPr>
          <w:lang w:val="el" w:eastAsia="el"/>
        </w:rPr>
      </w:pPr>
      <w:r>
        <w:rPr>
          <w:b/>
          <w:bCs/>
          <w:lang w:val="el" w:eastAsia="el"/>
        </w:rPr>
        <w:t>17.</w:t>
      </w:r>
      <w:r>
        <w:rPr>
          <w:lang w:val="el" w:eastAsia="el"/>
        </w:rPr>
        <w:t xml:space="preserve"> «χρήστης του ΕΣΗΔΗΣ»: οι αναθέτουσες αρχές/ αναθέτοντες φορείς και οι οικονομικοί φορείς που χρησιμοποιούν το ΕΣΗΔΗΣ, σύμφωνα με το άρθρο 5 της υπ’ αρ. 64233/8.6.2021 υπουργικής απόφασης (Β΄ 2453) και το άρθρο 4 της υπ’ αρ. 166278/25-6-2021 κοινής υπουργικής απόφασης (Β΄ 2813) που αφορούν αμφότερες στη λειτουργία του ΕΣΗΔΗΣ,</w:t>
      </w:r>
    </w:p>
    <w:p>
      <w:pPr>
        <w:pStyle w:val="MainText"/>
        <w:spacing w:before="120" w:after="0"/>
        <w:rPr>
          <w:lang w:val="el" w:eastAsia="el"/>
        </w:rPr>
      </w:pPr>
      <w:r>
        <w:rPr>
          <w:b/>
          <w:bCs/>
          <w:lang w:val="el" w:eastAsia="el"/>
        </w:rPr>
        <w:t>18.</w:t>
      </w:r>
      <w:r>
        <w:rPr>
          <w:lang w:val="el" w:eastAsia="el"/>
        </w:rPr>
        <w:t xml:space="preserve"> «ηλεκτρονικό Πρόγραμμα Δημοσίων Επενδύσεων (e-ΠΔΕ)»: το Ολοκληρωμένο Πληροφοριακό Σύστημα του Υπουργείου Ανάπτυξης και Επενδύσεων μέσω του οποίου διενεργούνται όλες οι διαδικασίες υλοποίησης (κατάρτιση, χρηματοδότηση και πληρωμές) του Προϋπολογισμού Δημοσίων Επενδύσεων (ΠΔΕ),</w:t>
      </w:r>
    </w:p>
    <w:p>
      <w:pPr>
        <w:pStyle w:val="MainText"/>
        <w:spacing w:before="120" w:after="0"/>
        <w:rPr>
          <w:lang w:val="el" w:eastAsia="el"/>
        </w:rPr>
      </w:pPr>
      <w:r>
        <w:rPr>
          <w:b/>
          <w:bCs/>
          <w:lang w:val="el" w:eastAsia="el"/>
        </w:rPr>
        <w:t>19.</w:t>
      </w:r>
      <w:r>
        <w:rPr>
          <w:lang w:val="el" w:eastAsia="el"/>
        </w:rPr>
        <w:t xml:space="preserve"> «Ολοκληρωμένο Πληροφοριακό Σύστημα Δημοσιονομικής Πολιτικής (ΟΠΣΔΠ) και εφαρμογές», το πληροφοριακό σύστημα και το σύνολο των εφαρμογών που έχουν ως στόχο την πλήρη υποστήριξη των λειτουργιών δημοσιονομικής διαχείρισης σε όλη την κεντρική διοίκηση (Υπουργεία, Αποκεντρωμένες Διοικήσεις, Ανεξάρτητες Διοικητικές Αρχές χωρίς νομική προσωπικότητα),</w:t>
      </w:r>
    </w:p>
    <w:p>
      <w:pPr>
        <w:pStyle w:val="MainText"/>
        <w:spacing w:before="120" w:after="0"/>
        <w:rPr>
          <w:lang w:val="el" w:eastAsia="el"/>
        </w:rPr>
      </w:pPr>
      <w:r>
        <w:rPr>
          <w:b/>
          <w:bCs/>
          <w:lang w:val="el" w:eastAsia="el"/>
        </w:rPr>
        <w:t>20.</w:t>
      </w:r>
      <w:r>
        <w:rPr>
          <w:lang w:val="el" w:eastAsia="el"/>
        </w:rPr>
        <w:t xml:space="preserve"> «διαδικτυακές υπηρεσίες (web services)»: υπηρεσίες ανταλλαγής δεδομένων μεταξύ πληροφοριακών συστημάτων και εφαρμογών μέσω του Διαδικτύου,</w:t>
      </w:r>
    </w:p>
    <w:p>
      <w:pPr>
        <w:pStyle w:val="MainText"/>
        <w:spacing w:before="120" w:after="0"/>
        <w:rPr>
          <w:lang w:val="el" w:eastAsia="el"/>
        </w:rPr>
      </w:pPr>
      <w:r>
        <w:rPr>
          <w:b/>
          <w:bCs/>
          <w:lang w:val="el" w:eastAsia="el"/>
        </w:rPr>
        <w:t>21.</w:t>
      </w:r>
      <w:r>
        <w:rPr>
          <w:lang w:val="el" w:eastAsia="el"/>
        </w:rPr>
        <w:t xml:space="preserve"> «παραλαβή τιμολογίου»: η λήψη από τον αγοραστή του ηλεκτρονικού τιμολογίου του πωλητή σύμφωνα με την υποπαρ. Ζ5 του ν. 4152/2013 (Α΄107),</w:t>
      </w:r>
    </w:p>
    <w:p>
      <w:pPr>
        <w:pStyle w:val="MainText"/>
        <w:spacing w:before="120" w:after="0"/>
        <w:rPr>
          <w:lang w:val="el" w:eastAsia="el"/>
        </w:rPr>
      </w:pPr>
      <w:r>
        <w:rPr>
          <w:b/>
          <w:bCs/>
          <w:lang w:val="el" w:eastAsia="el"/>
        </w:rPr>
        <w:t>22.</w:t>
      </w:r>
      <w:r>
        <w:rPr>
          <w:lang w:val="el" w:eastAsia="el"/>
        </w:rPr>
        <w:t xml:space="preserve"> «μη κεντρικές αναθέτουσες αρχές»: οι αναθέτουσες αρχές, όπως ορίζονται στην περίπτωση 3 της παρ. 1 του άρθρου 2 του ν. 4412/2016,</w:t>
      </w:r>
    </w:p>
    <w:p>
      <w:pPr>
        <w:pStyle w:val="MainText"/>
        <w:spacing w:before="120" w:after="0"/>
        <w:rPr>
          <w:lang w:val="el" w:eastAsia="el"/>
        </w:rPr>
      </w:pPr>
      <w:r>
        <w:rPr>
          <w:b/>
          <w:bCs/>
          <w:lang w:val="el" w:eastAsia="el"/>
        </w:rPr>
        <w:t>23.</w:t>
      </w:r>
      <w:r>
        <w:rPr>
          <w:lang w:val="el" w:eastAsia="el"/>
        </w:rPr>
        <w:t xml:space="preserve"> «κεντρικές κυβερνητικές αρχές» νοούνται οι αναθέτουσες αρχές που περιλαμβάνονται στο Παράρτημα I του Προσαρτήματος Α΄ του ν. 4412/2016 και, εφόσον έχουν επέλθει διορθώσεις ή τροποποιήσεις, οι φορείς που τις έχουν διαδεχθεί,</w:t>
      </w:r>
    </w:p>
    <w:p>
      <w:pPr>
        <w:pStyle w:val="MainText"/>
        <w:spacing w:before="120" w:after="0"/>
        <w:rPr>
          <w:lang w:val="el" w:eastAsia="el"/>
        </w:rPr>
      </w:pPr>
      <w:r>
        <w:rPr>
          <w:b/>
          <w:bCs/>
          <w:lang w:val="el" w:eastAsia="el"/>
        </w:rPr>
        <w:t>24.</w:t>
      </w:r>
      <w:r>
        <w:rPr>
          <w:lang w:val="el" w:eastAsia="el"/>
        </w:rPr>
        <w:t xml:space="preserve"> «κεντρικές αρχές αγορών» (ΚΑΑ): νοούνται οι αναθέτουσες αρχές της υποπερ. α΄ της περ. 17 της παρ. 1 του άρθρου 2 του ν. 4412/2016,</w:t>
      </w:r>
    </w:p>
    <w:p>
      <w:pPr>
        <w:pStyle w:val="MainText"/>
        <w:spacing w:before="120" w:after="0"/>
        <w:rPr>
          <w:lang w:val="el" w:eastAsia="el"/>
        </w:rPr>
      </w:pPr>
      <w:r>
        <w:rPr>
          <w:b/>
          <w:bCs/>
          <w:lang w:val="el" w:eastAsia="el"/>
        </w:rPr>
        <w:t>25.</w:t>
      </w:r>
      <w:r>
        <w:rPr>
          <w:lang w:val="el" w:eastAsia="el"/>
        </w:rPr>
        <w:t xml:space="preserve"> «αναθέτοντες φορείς»: οι αναθέτοντες φορείς, όπως ορίζονται στην υποπερίπτωση β’ της περίπτωσης 1 της παρ. 1 του άρθρου 2 του ν. 4412/2016 και στο άρθρο 4 του ν. 4413/2016,</w:t>
      </w:r>
    </w:p>
    <w:p>
      <w:pPr>
        <w:pStyle w:val="MainText"/>
        <w:spacing w:before="120" w:after="0"/>
        <w:rPr>
          <w:lang w:val="el" w:eastAsia="el"/>
        </w:rPr>
      </w:pPr>
      <w:r>
        <w:rPr>
          <w:b/>
          <w:bCs/>
          <w:lang w:val="el" w:eastAsia="el"/>
        </w:rPr>
        <w:t>26.</w:t>
      </w:r>
      <w:r>
        <w:rPr>
          <w:lang w:val="el" w:eastAsia="el"/>
        </w:rPr>
        <w:t xml:space="preserve"> «πωλητής»: ο οικονομικός φορέας, όπως ορίζεται στην περ. 13 του άρθρου 149 του ν. 4601/2019 και</w:t>
      </w:r>
    </w:p>
    <w:p>
      <w:pPr>
        <w:pStyle w:val="MainText"/>
        <w:spacing w:before="120" w:after="0"/>
        <w:rPr>
          <w:lang w:val="el" w:eastAsia="el"/>
        </w:rPr>
      </w:pPr>
      <w:r>
        <w:rPr>
          <w:b/>
          <w:bCs/>
          <w:lang w:val="el" w:eastAsia="el"/>
        </w:rPr>
        <w:t>27.</w:t>
      </w:r>
      <w:r>
        <w:rPr>
          <w:lang w:val="el" w:eastAsia="el"/>
        </w:rPr>
        <w:t xml:space="preserve"> «αγοραστής»: η αναθέτουσα αρχή και ο αναθέτων φορέας, όπως ορίζονται στην περ. 14 του άρθρου 149 του ν. 4601/2019.</w:t>
      </w:r>
    </w:p>
    <w:p>
      <w:pPr>
        <w:pStyle w:val="MainText"/>
        <w:spacing w:before="120" w:after="0"/>
        <w:rPr>
          <w:lang w:val="el" w:eastAsia="el"/>
        </w:rPr>
      </w:pPr>
      <w:r>
        <w:rPr>
          <w:b/>
          <w:bCs/>
          <w:lang w:val="el" w:eastAsia="el"/>
        </w:rPr>
        <w:t>28.</w:t>
      </w:r>
      <w:r>
        <w:rPr>
          <w:lang w:val="el" w:eastAsia="el"/>
        </w:rPr>
        <w:t xml:space="preserve"> Εφαρμογή Έκδοσης και Διαβίβασης Παραστατικών (timologio): εφαρμογή, η οποία είναι προσβάσιμη μέσω του διαδικτυακού τόπου της Ανεξάρτητης Αρχής Δημοσίων Εσόδων (ΑΑΔΕ) και δύναται να χρησιμοποιείται από τις επιχειρήσεις για την έκδοση των παραστατικών εσόδων και την ταυτόχρονη διαβίβασή τους στην ψηφιακή πλατφόρμα myDATA, βάσει των ειδικότερα οριζόμενων με στις διατάξεις του ν. 4308/2014 (Α’ 251) και της υπό στοιχεία Α.1138/12-6-2020 (Β’ 2470) κοινής απόφασης του Υφυπουργού Οικονομικών και του Διοικητή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Αρχιτεκτονική και τεχνικές προϋποθέσεις ασφάλειας και προστασίας δεδομένων, απαιτήσεις διαλειτουργικότητας και διασύνδεσης</w:t>
      </w:r>
    </w:p>
    <w:p>
      <w:pPr>
        <w:pStyle w:val="MainText"/>
        <w:spacing w:before="120" w:after="0"/>
        <w:rPr>
          <w:lang w:val="el" w:eastAsia="el"/>
        </w:rPr>
      </w:pPr>
      <w:r>
        <w:rPr>
          <w:b/>
          <w:bCs/>
          <w:lang w:val="el" w:eastAsia="el"/>
        </w:rPr>
        <w:t>1.</w:t>
      </w:r>
      <w:r>
        <w:rPr>
          <w:lang w:val="el" w:eastAsia="el"/>
        </w:rPr>
        <w:t xml:space="preserve"> Δημιουργείται δίκτυο διακίνησης των ηλεκτρονικών τιμολογίων δημοσίων συμβάσεων, εφεξής «Δίκτυο», το οποίο αποτελείται από τα εναλλακτικά, λογικά κανάλια: δίκτυο eDelivery στο οποίο γίνεται χρήση τεχνουργημάτων και τεχνικών προδιαγραφών του προτύπου PEPPOL (Κανάλι 1) και εναλλακτικό ασφαλές δίκτυο δημόσιας χρήσης Internet, στο οποίο διασφαλίζεται πρόσβαση σύμφωνα με τον υφιστάμενο για την Εφαρμογή Έκδοσης και Διαβίβασης Παραστατικών (timologio) της ΑΑΔΕ τρόπο (Κανάλι 2), προκειμένου και για τα δύο κανάλια να επιτυγχάνεται η διαλειτουργική, ασφαλής, αξιόπιστη και εμπιστευτική μετάδοση δεδομένων και εγγράφων που αφορούν στην ηλεκτρονική τιμολόγηση κατ’ εφαρμογή της παρούσας.</w:t>
      </w:r>
    </w:p>
    <w:p>
      <w:pPr>
        <w:pStyle w:val="MainText"/>
        <w:spacing w:before="120" w:after="0"/>
        <w:rPr>
          <w:lang w:val="el" w:eastAsia="el"/>
        </w:rPr>
      </w:pPr>
      <w:r>
        <w:rPr>
          <w:b/>
          <w:bCs/>
          <w:lang w:val="el" w:eastAsia="el"/>
        </w:rPr>
        <w:t>2.</w:t>
      </w:r>
      <w:r>
        <w:rPr>
          <w:lang w:val="el" w:eastAsia="el"/>
        </w:rPr>
        <w:t xml:space="preserve"> Το Δίκτυο συμμορφώνεται με τους υποχρεωτικούς κανόνες και πρότυπα σχεδιασμού, ανάπτυξης και λειτουργίας πληροφοριακών συστημάτων και διαδικτυακών τόπων, σύμφωνα με τα προβλεπόμενα του Παραρτήματος Ι της υπό στοιχεία ΥΑΠ/Φ.40.4/1/989/10.4.201 (Β΄ 1301/2012) «Κύρωση Πλαισίου Παροχής Υπηρεσιών Ηλεκτρονικής Διακυβέρνησης» και το π.δ. 25/2014 (Α΄ 44) «Ηλεκτρονικό Αρχείο και Ψηφιοποίηση εγγράφων».</w:t>
      </w:r>
    </w:p>
    <w:p>
      <w:pPr>
        <w:pStyle w:val="MainText"/>
        <w:spacing w:before="120" w:after="0"/>
        <w:rPr>
          <w:lang w:val="el" w:eastAsia="el"/>
        </w:rPr>
      </w:pPr>
      <w:r>
        <w:rPr>
          <w:b/>
          <w:bCs/>
          <w:lang w:val="el" w:eastAsia="el"/>
        </w:rPr>
        <w:t>3.</w:t>
      </w:r>
      <w:r>
        <w:rPr>
          <w:lang w:val="el" w:eastAsia="el"/>
        </w:rPr>
        <w:t xml:space="preserve"> Στο Δίκτυο τα θέματα ασφαλείας και προστασίας των προσωπικών δεδομένων αντιμετωπίζονται σύμφωνα με τα οριζόμενα στις παρ. 11 και 13 του Παραρτήματος Ι της υπό στοιχεία ΥΑΠ/Φ.40.4/1/989/10.4.2012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4.</w:t>
      </w:r>
      <w:r>
        <w:rPr>
          <w:lang w:val="el" w:eastAsia="el"/>
        </w:rPr>
        <w:t xml:space="preserve"> Το Δίκτυο ακολουθεί κανόνες και πρότυπα για τη διαλειτουργικότητα με τρίτα πληροφοριακά συστήματα φορέων, σύμφωνα με το Παράρτημα II της υπό στοιχεία ΥΑΠ/Φ.40.4/1/989/10.4.2012 (Β΄ 1301) «Κύρωση Πλαισίου Παροχής Υπηρεσιών Ηλεκτρονικής Διακυβέρνησης».</w:t>
      </w:r>
    </w:p>
    <w:p>
      <w:pPr>
        <w:pStyle w:val="MainText"/>
        <w:spacing w:before="120" w:after="0"/>
        <w:rPr>
          <w:lang w:val="el" w:eastAsia="el"/>
        </w:rPr>
      </w:pPr>
      <w:r>
        <w:rPr>
          <w:b/>
          <w:bCs/>
          <w:lang w:val="el" w:eastAsia="el"/>
        </w:rPr>
        <w:t>5.</w:t>
      </w:r>
      <w:r>
        <w:rPr>
          <w:lang w:val="el" w:eastAsia="el"/>
        </w:rPr>
        <w:t xml:space="preserve"> Ειδικότερα η ανταλλαγή πληροφοριών στο Δίκτυο είναι σύμφωνη με τις προδιαγραφές eDelivery A΄ 123) «Σύσταση και κατάργηση Γενικών Γραμματειών και S4/ A΄ 123) «Σύσταση και κατάργηση Γενικών Γραμματειών καιS2 profile και τις απαιτήσεις ασφαλείας του Εκτελεστικού Κανονισμού eIDA΄ 123) «Σύσταση και κατάργηση Γενικών Γραμματειών καιS της ΕΕ, εφαρμόζοντας τοπολογία δικτύου τεσσάρων γωνιών (4-corner model) και χρήση ψηφιακών πιστοποιητικών για υπογραφή και κρυπτογράφηση βάσει του προτύπου PEPPOL.</w:t>
      </w:r>
    </w:p>
    <w:p>
      <w:pPr>
        <w:pStyle w:val="MainText"/>
        <w:spacing w:before="120" w:after="0"/>
        <w:rPr>
          <w:lang w:val="el" w:eastAsia="el"/>
        </w:rPr>
      </w:pPr>
      <w:r>
        <w:rPr>
          <w:b/>
          <w:bCs/>
          <w:lang w:val="el" w:eastAsia="el"/>
        </w:rPr>
        <w:t>6.</w:t>
      </w:r>
      <w:r>
        <w:rPr>
          <w:lang w:val="el" w:eastAsia="el"/>
        </w:rPr>
        <w:t xml:space="preserve"> Στο Κέντρο Διαλειτουργικότητας (ΚΕΔ) της Γενικής Γραμματείας Πληροφοριακών Συστημάτων Δημόσιας Διοίκησης (Γ.Γ.Π.Σ.Δ.Δ.) υλοποιείται ενιαίο Σημείο Πρόσβασης του Δημοσίου, το οποίο υποδέχεται, ελέγχει τεχνικά, αποθηκεύει και δρομολογεί το ηλεκτρονικό τιμολόγιο, με τη χρήση διαδικτυακών υπηρεσιών σε όποιο πληροφοριακό σύστημα απαιτείται.</w:t>
      </w:r>
    </w:p>
    <w:p>
      <w:pPr>
        <w:pStyle w:val="MainText"/>
        <w:spacing w:before="120" w:after="0"/>
        <w:rPr>
          <w:lang w:val="el" w:eastAsia="el"/>
        </w:rPr>
      </w:pPr>
      <w:r>
        <w:rPr>
          <w:b/>
          <w:bCs/>
          <w:lang w:val="el" w:eastAsia="el"/>
        </w:rPr>
        <w:t>7.</w:t>
      </w:r>
      <w:r>
        <w:rPr>
          <w:lang w:val="el" w:eastAsia="el"/>
        </w:rPr>
        <w:t xml:space="preserve"> Οι αποστολείς ηλεκτρονικών τιμολογίων μεριμνούν για την διασύνδεση τους στο Δίκτυο μέσω πιστοποιημένου σημείου πρόσβασης για την διαβίβαση ηλεκτρονικών τιμολογίων. Με πράξη του Γενικού Γραμματέα Πληροφοριακών Συστημάτων Δημόσιας Διοίκησης διαπιστώνεται η εκπλήρωση των τεχνικών απαιτήσεων διασύνδεσης, όσον αφορά στην αποστολή τιμολογίων και παραλαβή απαντητικών μηνυμάτων, με το ενιαίο Σημείο Πρόσβασης του Δημοσίου, σύμφωνα με τις διατάξεις της παρούσας και τον Εθνικό Μορφότυπο. Η διαπιστωτική πράξη εκδίδεται μετά από τη διενέργεια σχετικών ελέγχων.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8.</w:t>
      </w:r>
      <w:r>
        <w:rPr>
          <w:lang w:val="el" w:eastAsia="el"/>
        </w:rPr>
        <w:t xml:space="preserve"> Οι απαιτήσεις διαλειτουργικότητας με το ΚΕΔ ορίζονται στην υπό στοιχεία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Επιχειρησιακή Λειτουργία του Δικτύου</w:t>
      </w:r>
    </w:p>
    <w:p>
      <w:pPr>
        <w:pStyle w:val="MainText"/>
        <w:spacing w:before="120" w:after="0"/>
        <w:rPr>
          <w:lang w:val="el" w:eastAsia="el"/>
        </w:rPr>
      </w:pPr>
      <w:r>
        <w:rPr>
          <w:b/>
          <w:bCs/>
          <w:lang w:val="el" w:eastAsia="el"/>
        </w:rPr>
        <w:t>1.</w:t>
      </w:r>
      <w:r>
        <w:rPr>
          <w:lang w:val="el" w:eastAsia="el"/>
        </w:rPr>
        <w:t xml:space="preserve"> Σκοπός του Δικτύου του άρθρου 3 είναι η μετάδοση στοιχείων ηλεκτρονικής τιμολόγησης δημοσίων συμβάσεων μεταξύ των εμπλεκόμενων φορέων, στο πλαίσιο του πεδίου εφαρμογής του άρθρου 1, με τρόπο διαλειτουργικό, ασφαλή, αξιόπιστο και εμπιστευτικό.</w:t>
      </w:r>
    </w:p>
    <w:p>
      <w:pPr>
        <w:pStyle w:val="MainText"/>
        <w:spacing w:before="120" w:after="0"/>
        <w:rPr>
          <w:lang w:val="el" w:eastAsia="el"/>
        </w:rPr>
      </w:pPr>
      <w:r>
        <w:rPr>
          <w:b/>
          <w:bCs/>
          <w:lang w:val="el" w:eastAsia="el"/>
        </w:rPr>
        <w:t>2.</w:t>
      </w:r>
      <w:r>
        <w:rPr>
          <w:lang w:val="el" w:eastAsia="el"/>
        </w:rPr>
        <w:t xml:space="preserve"> Η εισαγωγή ηλεκτρονικών τιμολογίων στο Δίκτυο γίνεται μέσω: α) των Πιστοποιημένων Σημείων Πρόσβασης του Δικτύου, για το Κανάλι 1 και β) εναλλακτικά, μέσω της διαδικτυακής εφαρμογής Έκδοσης και Διαβίβασης Παραστατικών (timologio) της ΑΑΔΕ για το Κανάλι 2. Η εφαρμογή Έκδοσης και Διαβίβασης Παραστατικών (timologio) της ΑΑΔΕ επιτρέπει την έκδοση παραστατικών πώλησης αγαθών και παροχής υπηρεσιών, τη διαβίβαση της σύνοψης των δεδομένων αυτών στην Ψηφιακή πλατφόρμα myDATA της ΑΑΔΕ και τη μετέπειτα διαβίβασή τους μέσω διαδικτυακής υπηρεσίας, σε έτερη διαδικτυακή εφαρμογή της Γ.Γ.Π.Σ.Ψ.Δ. με την ονομασία timologio B2G, για συμπλήρωση από τον ίδιο χρήστη πρόσθετων πεδίων απαραίτητων για την ορθή δρομολόγηση προς τη λήπτρια Αναθέτουσα Αρχή/Αγοραστή. Τα δεδομένα προερχόμενα από τις προαναφερθείσες εφαρμογές ομογενοποιούνται και ολοκληρώνονται στην εφαρμογή timologio B2G σε ένα ηλεκτρονικό τιμολόγιο, συμβατό με όλους τους κανόνες του PEPPOL Greek B2G CIUS Μορφότυπου και το παραγόμενο XML μεταβιβάζεται απευθείας μέσω διαδικτυακής υπηρεσίας στο ΚΕΔ, οπότε και εισέρχεται στην κοινή ροή επεξεργασίας όλων των ηλεκτρονικών τιμολογίων.</w:t>
      </w:r>
    </w:p>
    <w:p>
      <w:pPr>
        <w:pStyle w:val="MainText"/>
        <w:spacing w:before="120" w:after="0"/>
        <w:rPr>
          <w:lang w:val="el" w:eastAsia="el"/>
        </w:rPr>
      </w:pPr>
      <w:r>
        <w:rPr>
          <w:b/>
          <w:bCs/>
          <w:lang w:val="el" w:eastAsia="el"/>
        </w:rPr>
        <w:t>3.</w:t>
      </w:r>
      <w:r>
        <w:rPr>
          <w:lang w:val="el" w:eastAsia="el"/>
        </w:rPr>
        <w:t xml:space="preserve"> Η αποστολή ηλεκτρονικού τιμολογίου προς το Σημείο Πρόσβασης του Δημοσίου στο ΚΕΔ πραγματοποιείται: α) μόνο από άλλο Σημείο Πρόσβασης του Δικτύου, για το Κανάλι 1 και β) μόνο μέσω της εφαρμογής Έκδοσης και Διαβίβασης Παραστατικών (timologio) για το Κανάλι 2.</w:t>
      </w:r>
    </w:p>
    <w:p>
      <w:pPr>
        <w:pStyle w:val="MainText"/>
        <w:spacing w:before="120" w:after="0"/>
        <w:rPr>
          <w:lang w:val="el" w:eastAsia="el"/>
        </w:rPr>
      </w:pPr>
      <w:r>
        <w:rPr>
          <w:b/>
          <w:bCs/>
          <w:lang w:val="el" w:eastAsia="el"/>
        </w:rPr>
        <w:t>4.</w:t>
      </w:r>
      <w:r>
        <w:rPr>
          <w:lang w:val="el" w:eastAsia="el"/>
        </w:rPr>
        <w:t xml:space="preserve"> Κατά την υποδοχή του ηλεκτρονικού τιμολογίου από το Σημείο Πρόσβασης του Δημοσίου πραγματοποιούνται αυτόματα οι εξής κατ’ελάχιστον έλεγχοι ως προς:</w:t>
      </w:r>
    </w:p>
    <w:p>
      <w:pPr>
        <w:spacing w:before="240" w:after="240"/>
        <w:rPr>
          <w:lang w:val="el" w:eastAsia="el"/>
        </w:rPr>
      </w:pPr>
      <w:r>
        <w:rPr>
          <w:lang w:val="el" w:eastAsia="el"/>
        </w:rPr>
        <w:t>• Τη δομή του και την ορθότητα/ακεραιότητα των πεδίων του,</w:t>
      </w:r>
    </w:p>
    <w:p>
      <w:pPr>
        <w:spacing w:before="240" w:after="240"/>
        <w:rPr>
          <w:lang w:val="el" w:eastAsia="el"/>
        </w:rPr>
      </w:pPr>
      <w:r>
        <w:rPr>
          <w:lang w:val="el" w:eastAsia="el"/>
        </w:rPr>
        <w:t>• Τη συμβατότητά του με τον Ευρωπαϊκό ή/και τον Εθνικό Μορφότυπο και</w:t>
      </w:r>
    </w:p>
    <w:p>
      <w:pPr>
        <w:spacing w:before="240" w:after="240"/>
        <w:rPr>
          <w:lang w:val="el" w:eastAsia="el"/>
        </w:rPr>
      </w:pPr>
      <w:r>
        <w:rPr>
          <w:lang w:val="el" w:eastAsia="el"/>
        </w:rPr>
        <w:t>• Την εγκυρότητα αποστολής του.</w:t>
      </w:r>
    </w:p>
    <w:p>
      <w:pPr>
        <w:spacing w:before="240" w:after="240"/>
        <w:rPr>
          <w:lang w:val="el" w:eastAsia="el"/>
        </w:rPr>
      </w:pPr>
      <w:r>
        <w:rPr>
          <w:lang w:val="el" w:eastAsia="el"/>
        </w:rPr>
        <w:t>Σε περίπτωση μη συμμόρφωσης του ηλεκτρονικού τιμολογίου με τις απαιτήσεις των ανωτέρω αυτομάτων ελέγχων, αυτό χαρακτηρίζεται ως απορριπτέο και αποστέλλεται σχετικό αυτοματοποιημένο μήνυμα πληροφόρησης στον πωλητή μέσω του Πιστοποιημένου Σημείου Πρόσβασης. Το ηλεκτρονικό τιμολόγιο και το σύνολο των δεδομένων που πιστοποιούν τη διακίνησή του, καθώς και των μηνυμάτων που ενημερώνουν για την αλλαγή κατάστασής του αποθηκεύονται στο ΚΕΔ και είναι άμεσα διαθέσιμα για χρονικό διάστημα πέντε (5) ετών. Μετά την παρέλευση των πέντε (5) ετών, θα είναι διαθέσιμα έως πέντε (5) επιπλέον έτη σε όποιον έχει έννομο συμφέρον, κατόπιν σχετικού αιτήματός του εντός δύο (2) εργάσιμων ημερών, με την επιφύλαξη των διατάξεων του άρθρου 93 του ν.4129/2013.</w:t>
      </w:r>
    </w:p>
    <w:p>
      <w:pPr>
        <w:pStyle w:val="MainText"/>
        <w:spacing w:before="120" w:after="0"/>
        <w:rPr>
          <w:lang w:val="el" w:eastAsia="el"/>
        </w:rPr>
      </w:pPr>
      <w:r>
        <w:rPr>
          <w:b/>
          <w:bCs/>
          <w:lang w:val="el" w:eastAsia="el"/>
        </w:rPr>
        <w:t>5.</w:t>
      </w:r>
      <w:r>
        <w:rPr>
          <w:lang w:val="el" w:eastAsia="el"/>
        </w:rPr>
        <w:t xml:space="preserve"> Τα ηλεκτρονικά τιμολόγια και τα στοιχεία αυτών τηρούνται στα οικεία πληροφοριακά συστήματα των αρμοδίων υπηρεσιών,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Το αποδεκτό ηλεκτρονικό τιμολόγιο δρομολογείται αυτόματα από το ΚΕΔ προς τον αγοραστή μέσω διαδικτυακών υπηρεσιών. Η δρομολόγηση πραγματοποιείται προς εκείνα τα πληροφοριακά συστήματα, τρίτα ως προς το Δίκτυο, τα οποία χρησιμοποιεί ο αγοραστής για τη διενέργεια διαγωνιστικών διαδικασιών ή/και τη σύναψη/ παρακολούθησης σύμβασης, την οικονομική διαχείριση ή/και την πληρωμή της σύμβασης. Η δρομολόγηση αυτή πραγματοποιείται αυτόματα με προώθησή του («pus) και τεχνικών προδιαγραφών πουh»), ενώ παρέχεται και η δυνατότητα αυτόματης ανταπόκρισης σε ηλεκτρονικό αίτημα αποστολής του («pull»).</w:t>
      </w:r>
    </w:p>
    <w:p>
      <w:pPr>
        <w:pStyle w:val="MainText"/>
        <w:spacing w:before="120" w:after="0"/>
        <w:rPr>
          <w:lang w:val="el" w:eastAsia="el"/>
        </w:rPr>
      </w:pPr>
      <w:r>
        <w:rPr>
          <w:b/>
          <w:bCs/>
          <w:lang w:val="el" w:eastAsia="el"/>
        </w:rPr>
        <w:t>7.</w:t>
      </w:r>
      <w:r>
        <w:rPr>
          <w:lang w:val="el" w:eastAsia="el"/>
        </w:rPr>
        <w:t xml:space="preserve"> Τα ηλεκτρονικά τιμολόγια και τα στοιχεία αυτών δύναται να είναι διαθέσιμα σε ελεγκτικούς μηχανισμούς και φορείς στο πλαίσιο άσκησης των αρμοδιοτήτων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Διαδικασίες παραλαβής, επεξεργασίας τιμολογίων και πληρωμής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Οι αγοραστές λαμβάνουν από το ΚΕΔ τα ηλεκτρονικά τιμολόγια στα πληροφοριακά τους συστήματα, σύμφωνα με την περίπτωση (ιε) της παραγράφου 3 του άρθρου 28 του ν. 4623/2019 (Α’ 134).</w:t>
      </w:r>
    </w:p>
    <w:p>
      <w:pPr>
        <w:pStyle w:val="MainText"/>
        <w:spacing w:before="120" w:after="0"/>
        <w:rPr>
          <w:lang w:val="el" w:eastAsia="el"/>
        </w:rPr>
      </w:pPr>
      <w:r>
        <w:rPr>
          <w:b/>
          <w:bCs/>
          <w:lang w:val="el" w:eastAsia="el"/>
        </w:rPr>
        <w:t>2.</w:t>
      </w:r>
      <w:r>
        <w:rPr>
          <w:lang w:val="el" w:eastAsia="el"/>
        </w:rPr>
        <w:t xml:space="preserve"> Η επιτυχής, από τεχνικής απόψεως, παραλαβή των ηλεκτρονικών τιμολογίων από τα ανωτέρω πληροφοριακά συστήματα, χρονοσημαίνεται και επισημαίνεται με αυτοματοποιημένο μήνυμα πληροφόρησης που αποστέλλεται στον πωλητή μέσω του ΚΕΔ και εκκινεί τις προθεσμίες των διατάξεων της υποπαρ. Ζ.5 της παρ. Ζ του ν. 4152/2013 (Α’ 107).</w:t>
      </w:r>
    </w:p>
    <w:p>
      <w:pPr>
        <w:pStyle w:val="MainText"/>
        <w:spacing w:before="120" w:after="0"/>
        <w:rPr>
          <w:lang w:val="el" w:eastAsia="el"/>
        </w:rPr>
      </w:pPr>
      <w:r>
        <w:rPr>
          <w:b/>
          <w:bCs/>
          <w:lang w:val="el" w:eastAsia="el"/>
        </w:rPr>
        <w:t>3.</w:t>
      </w:r>
      <w:r>
        <w:rPr>
          <w:lang w:val="el" w:eastAsia="el"/>
        </w:rPr>
        <w:t xml:space="preserve"> Για τους Φορείς που δεν διαθέτουν πληροφοριακά συστήματα για την οικονομική διαχείριση ή/και την πληρωμή της σύμβασης ή σε περίπτωση προσωρινής τεχνικής αδυναμίας στην επικοινωνία των ανωτέρω πληροφοριακών συστημάτων με το ΚΕΔ οι αγοραστές παραλαμβάνουν τα ηλεκτρονικά τιμολόγια, για το σκοπό αυτό, στο πληροφοριακό υποσύστημα ΕΔΗΤ. Η τεχνική αδυναμία παραλαβής του ηλεκτρονικού τιμολογίου κατά τα ανωτέρω, πιστοποιείται από τη Γ.Γ.Π.Σ.Δ.Δ., η οποία παρέχει σε κάθε περίπτωση τις απαραίτητες οδηγίες στους αγοραστές για την παραλαβή των τιμολογίων μέσω του ανωτέρω πληροφοριακού υποσυστήματός της. Στην περίπτωση αυτή, οι προθεσμίες των διατάξεων της υποπαρ. Ζ.5 της παρ. Ζ του ν. 4152/2013 (Α’ 107), εκκινούν από την ημερομηνία που το ηλεκτρονικό τιμολόγιο καθίσταται διαθέσιμο στον αγοραστή μέσω του ΕΔΗΤ.</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Σε συνέχεια της παραλαβής του τιμολογίου και στην περίπτωση που ο αγοραστής διαπιστώσει την μη εκπλήρωση των συμβατικών υποχρεώσεων από τον πωλητή (π.χ. το περιεχόμενο του τιμολογίου δεν είναι σύμφωνο με τους όρους της σύμβασης κ.λπ.) αποστέλλει μήνυμα ειδοποίησης προς τον πωλητή, διαμέσου του ΚΕΔ προκειμένου ο τελευταίος είτε να εκδώσει πιστωτικό ηλεκτρονικό τιμολόγιο είτε να προβεί σε οποιαδήποτε άλλη απαιτούμενη εκ μέρους του ενέργεια. Το ΚΕΔ ταυτόχρονα προωθεί την εν λόγω ειδοποίηση στα εμπλεκόμενα πληροφοριακά συστήματα.</w:t>
      </w:r>
    </w:p>
    <w:p>
      <w:pPr>
        <w:pStyle w:val="MainText"/>
        <w:spacing w:before="120" w:after="0"/>
        <w:rPr>
          <w:lang w:val="el" w:eastAsia="el"/>
        </w:rPr>
      </w:pPr>
      <w:r>
        <w:rPr>
          <w:b/>
          <w:bCs/>
          <w:lang w:val="el" w:eastAsia="el"/>
        </w:rPr>
        <w:t>5.</w:t>
      </w:r>
      <w:r>
        <w:rPr>
          <w:lang w:val="el" w:eastAsia="el"/>
        </w:rPr>
        <w:t xml:space="preserve"> Σε περίπτωση που ο αγοραστής διαπιστώσει εσφαλμένη συμπλήρωση πεδίων του τιμολογίου, που δεν περιλαμβάνονται στο υποχρεωτικό περιεχόμενο του τιμολογίου όπως ορίζεται στο άρθρο 9 του ν. 4308/2014, είναι δυνατή η διόρθωσή του, σύμφωνα και με την παρ. 3.11 του άρθρου 3 της υπό στοιχεία Α.1035/18-02-2020 υπουργικής απόφασης «Υποχρεώσεις Παρόχων Υπηρεσιών Ηλεκτρονικής Έκδοσης Στοιχείων και διαδικασίες ελέγχου παροχής υπηρεσιών ηλεκτρονικής έκδοσης στοιχείων» (Β'551). Συγκεκριμένα ο αγοραστής αποστέλλει μήνυμα μέσω ΚΕΔ στον πωλητή προκειμένου αυτός να προβεί στις απαιτούμενες διορθώσεις και να επαναδρομολογήσει το τιμολόγιο σύμφωνα με τις διαδικασίες της παρούσας. Τα πεδία για τα οποία παρέχεται δυνατότητα διόρθωσης είναι: α) ΒΤ-10 «Στοιχείο αναφοράς Αγοραστή», β) ΒΤ-11 «Στοιχείο αναφοράς αγαθού/υπηρεσίας/ μελέτης/έργου», γ) ΒΤ-12 «Στοιχείο αναφοράς σύμβασης», δ) ΒΤ-46 «Κωδικός αγοραστή» και ε) ΒΤ-13 «Στοιχείο αναφοράς εντολής αγοράς», όπως αυτά περιγράφονται στο άρθρο 3 της υπό στοιχεία 63446/31.05.2021 κοινής υπουργικής απόφασης «Καθορισμός Εθνικού Μορφότυπου ηλεκτρονικού τιμολογίου στο πλαίσιο των Δημοσίων Συμβάσεων» (Β' 2338) και στον Εθνικό Μορφότυπο του Ηλεκτρονικού Τιμολογίου.</w:t>
      </w:r>
    </w:p>
    <w:p>
      <w:pPr>
        <w:spacing w:before="240" w:after="240"/>
        <w:rPr>
          <w:lang w:val="el" w:eastAsia="el"/>
        </w:rPr>
      </w:pPr>
      <w:r>
        <w:rPr>
          <w:lang w:val="el" w:eastAsia="el"/>
        </w:rPr>
        <w:t>Ηλεκτρονικά τιμολόγια, που έχουν ήδη εκδοθεί, πριν την έναρξη ισχύος της παρούσας και για τα οποία εκκρεμεί η διαχείρισή τους, δύνανται να διορθωθούν.</w:t>
      </w:r>
    </w:p>
    <w:p>
      <w:pPr>
        <w:pStyle w:val="MainText"/>
        <w:spacing w:before="120" w:after="0"/>
        <w:rPr>
          <w:lang w:val="el" w:eastAsia="el"/>
        </w:rPr>
      </w:pPr>
      <w:r>
        <w:rPr>
          <w:b/>
          <w:bCs/>
          <w:lang w:val="el" w:eastAsia="el"/>
        </w:rPr>
        <w:t>6.</w:t>
      </w:r>
      <w:r>
        <w:rPr>
          <w:lang w:val="el" w:eastAsia="el"/>
        </w:rPr>
        <w:t xml:space="preserve"> Σε περίπτωση μη εφαρμογής της διαδικασίας ηλεκτρονικής διακίνησης δικαιολογητικών του άρθρου 69ΣΤ του ν. 4270/2014, η αναθέτουσα αρχή η οποία πραγματοποιεί τη δαπάνη, αναγράφει στην κατάσταση πληρωμής τον μοναδικό αριθμό του ηλεκτρονικού τιμολογίου με τον οποίο η οικονομική υπηρεσία του φορέα Γενικής Κυβέρνησης το αναζητά ως δικαιολογητικό της δαπάνης με τη χρήση διαδικτυακών υπηρεσιών από το ΚΕΔ ή στο ΕΔΗΤ στις περιπτώσεις της παρ. 3 του παρόντος άρθρου και της παρ. 1 του άρθρου 6.</w:t>
      </w:r>
    </w:p>
    <w:p>
      <w:pPr>
        <w:pStyle w:val="MainText"/>
        <w:spacing w:before="120" w:after="0"/>
        <w:rPr>
          <w:lang w:val="el" w:eastAsia="el"/>
        </w:rPr>
      </w:pPr>
      <w:r>
        <w:rPr>
          <w:b/>
          <w:bCs/>
          <w:lang w:val="el" w:eastAsia="el"/>
        </w:rPr>
        <w:t>7.</w:t>
      </w:r>
      <w:r>
        <w:rPr>
          <w:lang w:val="el" w:eastAsia="el"/>
        </w:rPr>
        <w:t xml:space="preserve"> Μετά την ολοκλήρωση της διαδικασίας πληρωμής του ηλεκτρονικού τιμολογίου από την αρμόδια υπηρεσία του αγοραστή, το ΚΕΔ άμεσα ενημερώνεται ηλεκτρονικά για την ολοκλήρωση της πληρωμής του τιμολογίου και στη συνέχεια ενημερώνει αυτόματα τόσο τα εμπλεκόμενα πληροφοριακά συστήματα όσο και τον πωλητή.</w:t>
      </w:r>
    </w:p>
    <w:p>
      <w:pPr>
        <w:pStyle w:val="MainText"/>
        <w:spacing w:before="120" w:after="0"/>
        <w:rPr>
          <w:lang w:val="el" w:eastAsia="el"/>
        </w:rPr>
      </w:pPr>
      <w:r>
        <w:rPr>
          <w:b/>
          <w:bCs/>
          <w:lang w:val="el" w:eastAsia="el"/>
        </w:rPr>
        <w:t>8.</w:t>
      </w:r>
      <w:r>
        <w:rPr>
          <w:lang w:val="el" w:eastAsia="el"/>
        </w:rPr>
        <w:t xml:space="preserve"> Η οπτικοποιημένη μορφή του ηλεκτρονικού τιμολογίου δύναται να αποθηκεύεται σε ηλεκτρονικό αρχείο μορφότυπου PDF, ενώ ως πρωτότυπο ηλεκτρονικό τιμολόγιο νοείται το τιμολόγιο σε ηλεκτρονική μορφή βάσει του Ευρωπαϊκού ή Εθνικού Μορφότυπου και μόνο.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Αναθέτουσες Αρχές/Αναθέτοντες Φορείς οφείλουν να προβούν το συντομότερο δυνατό στις απαραίτητες προσαρμογές των οικείων πληροφοριακών τους συστημάτων ώστε να είναι δυνατή η παραλαβή από αυτά των ηλεκτρονικών τιμολογίων σύμφωνα με τη διαδικασία των άρθρων 4 και 5 της παρούσης. Μέχρι να ολοκληρωθούν οι κατά τα ανωτέρω απαραίτητες προσαρμογές οι Αναθέτουσες Αρχές/Αναθέτοντες Φορείς χρησιμοποιούν την Εφαρμογή Διάθεσης Ηλεκτρονικών Τιμολογίων (ΕΔΗΤ) της Γενικής Γραμματείας Πληροφοριακών Συστημάτων Δημόσιας Διοίκησης (Γ.Γ.Π.Σ.Δ.Δ.).</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δύο (2) μήνες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Απριλίου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ΝΙΚΟΛΑΟΣ-ΓΕΩΡΓΙΟΣ ΔΕΝΔΙΑΣ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οικ. 46901 ΕΞ 2024 07.04.2024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13005ΕΞ2022/1/2/2022 07.02.2022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