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ΗΜΕΡΟΜΗΝΙΑ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Ω3Θ146ΜΠ3Ζ-ΣΞΔ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ΦΕΚ: Β’ 3852/18.08.2021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Α.1186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12 Αυγούστου 2021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Δ/ΝΣΗ ΔΙΕΘΝΩΝ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ΣΧΕΣΕΩΝ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Καρ. Σερβίας 8-10 101 84, ΑΘΗΝΑ 210 3375312, 857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Καθορισμός των κρατών που έχουν προνομιακό φορολογικό καθεστώς με βάση τις διατάξεις των παραγράφων 6 και 7 του άρθρου 65 του ν.4172/2013 για το φορολογικό έτος 2020.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Τις διατάξεις των παραγράφων 6 και 7 του άρθρου 65 του ν. 4172/2013 (Α΄ 167).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Τις διατάξεις του άρθρου 90 του «Κώδικα Νομοθεσίας για την Κυβέρνηση και τα Κυβερνητικά όργανα», που κυρώθηκε με το άρθρο πρώτο του π.δ. 63/2005 (Α΄ 98), σε συνδυασμό με την παρ. 22 του άρθρου 119 του ν.4622/2019 (Α’ 133).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Τις διατάξεις του π.δ. 83/2019 «Διορισμός Αντιπροέδρου της Κυβέρνησης, Υπουργών, Αναπληρωτών Υπουργών και Υφυπουργών» (Α΄ 121).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Την αριθμ. Υ2/2019 (Β΄ 2901) Απόφαση του Πρωθυπουργού περί «Σύστασης θέσεων Αναπληρωτή Υπουργού και Υφυπουργού»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Την αριθμ. 339/2019 (Β΄ 3051) Απόφαση του Πρωθυπουργού «Ανάθεση αρμοδιοτήτων στον Υφυπουργό Οικονομικών κ. Απόστολο Βεσυρόπουλο».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Τις διατάξεις του Π.Δ. 142/2017 (Α΄ 181) «Οργανισμός Υπουργείου Οικονομικών», όπως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Τις διατάξεις του Κεφαλαίου Α΄ «Σύσταση Ανεξάρτητης Αρχής Δημοσίων Εσόδων» του ν.4389/2016 (Α΄ 94) και ειδικότερα του άρθρου 7, της παραγράφου 1 του άρθρου 14 και του άρθρου 41 αυτού, όπως ισχύουν.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Την Δ. ΟΡΓ. Α 1125859 ΕΞ 2020/23.10.2020 απόφαση του Διοικητή της Ανεξάρτητης Αρχής Δημοσίων Εσόδων «Οργανισμός της Ανεξάρτητης Αρχής Δημοσίων Εσόδων (Α.Α.Δ.Ε.)» (Β΄4738), όπως συμπληρώθηκε, τροποποιήθηκε και ισχύει.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Την από 12.4.2021 εισήγηση του Διοικητή της ΑΑΔΕ στον Υπουργό Οικονομικών δυνάμει της περ. γ’ της παρ. 2 του άρθρου 14 του ν.4389/2016 (Α΄ 94).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 υπ. αριθ. 46676/18.09.2017 εμπιστευτικό έγγραφο του Υπουργείου Εξωτερικών κατά το οποίο η συμπερίληψη γίνεται αποκλειστικά για σκοπούς εφαρμογής του ν.4172/2013 και δεν θίγει την επίσημη θέση της Ελληνικής Δημοκρατίας για το νομικό καθεστώς του Κοσσόβου.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Το γεγονός ότι, από τις διατάξεις της παρούσας απόφασης,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Καθορίζουμε ως κράτη που έχουν προνομιακό φορολογικό καθεστώς, σύμφωνα με τις διατάξεις της περίπτωσης β’ της παραγράφου 6 του άρθρου 65 του ν.4172/2013, τα κράτη εκείνα στα οποία το νομικό πρόσωπο ή η νομική οντότητα υπόκειται σε φόρο επί των κερδών ή των εισοδημάτων ή του κεφαλαίου του οποίου ο συντελεστής είναι ίσος ή κατώτερος από το εξήντα τοις εκατό (60%) του συντελεστή φορολογίας νομικών προσώπων και νομικών οντοτήτων που θα οφειλόταν σύμφωνα με τις διατάξεις της ελληνικής φορολογικής νομοθεσίας, εάν ήταν φορολογικός κάτοικος ή διατηρούσε μόνιμη εγκατάσταση κατά την έννοια του άρθρου 6 του Κώδικα Φορολογίας Εισοδήματος στην Ελλάδα.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βάση το πιο πάνω κριτήριο τα κράτη αυτά, για το φορολογικό έτος 2020, είναι τα ακόλουθα: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4234"/>
        <w:gridCol w:w="355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Άγιος Ευστάθιος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St. Eustatius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Αλβανία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Albania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Ανατολικό Τιμόρ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Timor-Leste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Ανγκουίλα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Anguilla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Ανδόρρα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Andorra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Βανουάτου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Vanuatu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Βερμούδες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Bermuda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Βόρεια Μακεδονία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North Macedonia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Βοσνία -Ερζεγοβίνη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Bosnia and Herzegovina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Βουλγαρία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Bulgaria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Βρετανικές Παρθένοι Νήσοι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British Virgin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Γιβραλτάρ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Gibraltar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Γκέρνσεϋ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Guernsey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Ηνωμένα Αραβικά Εμιράτα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United Arab Emirates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Ιρλανδία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Ireland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Qatar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Κιργιστάν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Kyrgyzstan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Κόσσοβο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Kosovo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Κύπρος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Cyprus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3675"/>
        <w:gridCol w:w="367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Λιχτενστάιν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Liechtenstein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Μακάο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Macau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Μαλδίβες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Maldives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Μαυροβούνιο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Montenegro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Μολδαβία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Republic of Moldova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Μογγολία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Mongolia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Μονακό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Monaco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Μπαρμπάντος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Barbados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Μπαχάμες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Bahamas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Bahrain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Μπελίζ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Belize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Μποναίρ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Bonaire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Νήσοι Κέϋμαν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Cayman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Νήσοι Μάρσαλ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Marshall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Νήσοι Τέρκς και Κάϊκος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Turks and Caicos Islands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Νήσος του 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Isle of Man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Ουγγαρία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Hungary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Παραγουάη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Paraguay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Σάμπα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Saba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Σαουδική Αραβία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Saudi Arabia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Σρι-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Sri Lanka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Τζέρσεϋ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Jersey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Τουρκμενιστάν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Turkmenistan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Αποδέκτες πίνακα Γ’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Επιχειρησιακή Δ/νση ΣΔΟΕ Αττικής &amp; Επιχειρησιακή Δ/νση ΣΔΟΕ Μακεδονίας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Γενική Διεύθυνση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στην ιστοσελίδα της ΑΑΔΕ και στην Ηλεκτρονική Βιβλιοθήκη της ΑΑΔΕ)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Εθνικό Τυπογραφείο για δημοσίευση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Αποδέκτες πινάκων Α’, Β’ (εκτός των αριθ.1 και 2 αυτού), Ζ’, Η’, Θ’, Ι’, ΙΒ’, ΙΓ’, ΙΔ’, ΙΕ’, ΙΣΤ’, ΙΖ’, ΙΗ’, ΙΘ’, Κ’, ΚΑ’, ΚΒ’ και ΚΓ’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Υπουργείο Ανάπτυξης &amp; Επενδύσεων, Γενική Γραμματεία Εμπορίου &amp; Προστασίας Καταναλωτή, Γενική Δ/νση Αγοράς, Δ/νση Εταιρειών,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Υπουργείο Οικονομικών, Επιτροπή Λογιστικής Τυποποίησης και Ελέγχων (ΕΛΤΕ), Βουλής 7 - 105 62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Γραφείο κ.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Γραφείο κας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8. </w:t>
      </w:r>
      <w:r>
        <w:rPr>
          <w:b/>
          <w:bCs/>
          <w:lang w:val="el" w:eastAsia="el"/>
        </w:rPr>
        <w:t>ΔΤΔ –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Αυτοτελές Τμήμα Συντονισμού,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Δ/νσεις, Αυτοτελή Τμήματα και Αυτοτελή Γραφεία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Δ/νση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Δ/νση Εφαρμογής Άμεσης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Διεύθυνση Διεθνών Οικονομικών Σχέσεων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