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και αναστολή καταβολής βεβαιωμένων οφειλών των Κοινοτήτων Δασοχωρίου, Κάτω Μελπείας, Αγριλοβούνου, Διαβολιτσίου, Παραπουγκίου, Καρνασίου και Δεσύλλα της Δημοτικής Ενότητας Ανδανίας του Δήμου Οιχαλίας της Περιφερειακής Ενότητας Μεσσηνίας της Περιφέρειας Πελοποννήσου για την αντιμετώπιση των έκτακτων αναγκών που προέκυψαν λόγω πυρκαγιάς που εκδηλώθηκε στις περιοχές στις 04-08-2021»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ΥΦΥΠΟΥΡΓΟΣ ΟΙΚΟΝΟΜΙΚΩΝ </w:t>
      </w:r>
      <w:r>
        <w:rPr>
          <w:lang w:val="el" w:eastAsia="el"/>
        </w:rPr>
        <w:t>Έχοντας υπόψη:</w:t>
      </w:r>
    </w:p>
    <w:p>
      <w:pPr>
        <w:spacing w:before="240" w:after="240"/>
        <w:rPr>
          <w:lang w:val="el" w:eastAsia="el"/>
        </w:rPr>
      </w:pPr>
      <w:r>
        <w:rPr>
          <w:lang w:val="el" w:eastAsia="el"/>
        </w:rPr>
        <w:t>1. Τις διατάξεις του άρθρου 8 του ν. 1284/1982 «Ρύθμιση ορισμένων μισθολογικών, φορολογικών, δασμολογικών και δημοσιολογιστικών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«Κύρωση των από 31.12.93 και 6.7.94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«Περί Κώδικος Εισπράξεως Δημοσίων Εσόδων» (Α΄ 90).</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 αρ. 7489/11-08-2021 απόφαση του Γενικού Γραμματέα Πολιτικής Προστασίας (ΑΔΑ: ΨΚΒΑ46ΜΤΛΒ-ΣΔΧ), με την οποία κηρύχτηκαν σε κατάσταση Έκτακτης Ανάγκης Πολιτικής Προστασίας έως και 04-02-2022 οι Κοινότητες Δασοχωρίου, Κάτω Μελπείας, Αγριλοβούνου, Διαβολιτσίου, Παραπουγκίου, Καρνασίου και Δεσύλλα της Δημοτικής Ενότητας Ανδανίας του Δήμου Οιχαλίας της Περιφερειακής Ενότητας Μεσσηνίας της Περιφέρειας Πελοποννήσου.</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04-02-2022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Κοινότητες Δασοχωρίου, Κάτω Μελπείας, Αγριλοβούνου, Διαβολιτσίου, Παραπουγκίου, Καρνασίου και Δεσύλλα της Δημοτικής Ενότητας Ανδανίας του Δήμου Οιχαλίας της Περιφερειακής Ενότητας Μεσσηνίας της Περιφέρειας Πελοποννήσου, που λήγουν ή έληξαν από 04-08-2021 μέχρι και 04-02-2022.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04-02-2022 η πληρωμή των βεβαιωμένων και ληξιπρόθεσμων την 04-08-2021 οφειλών των ανωτέρω προσώπων και οντοτήτων.</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