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Δ.Α.Ε.Φ.Κ.-Κ.Ε/13758/Α325/23-08-2021</w:t>
      </w:r>
    </w:p>
    <w:p>
      <w:pPr>
        <w:pStyle w:val="Title"/>
        <w:spacing w:before="120" w:after="360"/>
        <w:rPr>
          <w:lang w:val="el" w:eastAsia="el"/>
        </w:rPr>
      </w:pPr>
      <w:r>
        <w:rPr>
          <w:lang w:val="el" w:eastAsia="el"/>
        </w:rPr>
        <w:t>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w:t>
      </w:r>
    </w:p>
    <w:p>
      <w:pPr>
        <w:pStyle w:val="Title"/>
        <w:spacing w:before="120" w:after="360"/>
        <w:rPr>
          <w:lang w:val="el" w:eastAsia="el"/>
        </w:rPr>
      </w:pPr>
      <w:r>
        <w:rPr>
          <w:b/>
          <w:bCs/>
          <w:lang w:val="el" w:eastAsia="el"/>
        </w:rPr>
        <w:t>Αριθμ. Δ.Α.Ε.Φ.Κ.-Κ.Ε/13758/Α325/2021</w:t>
      </w:r>
    </w:p>
    <w:p>
      <w:pPr>
        <w:spacing w:before="240" w:after="240"/>
        <w:rPr>
          <w:lang w:val="el" w:eastAsia="el"/>
        </w:rPr>
      </w:pPr>
      <w:r>
        <w:rPr>
          <w:lang w:val="el" w:eastAsia="el"/>
        </w:rPr>
        <w:t>(ΦΕΚ Β' 3905/23-08-2021)</w:t>
      </w:r>
    </w:p>
    <w:p>
      <w:pPr>
        <w:spacing w:before="240" w:after="240"/>
        <w:rPr>
          <w:lang w:val="el" w:eastAsia="el"/>
        </w:rPr>
      </w:pPr>
      <w:r>
        <w:rPr>
          <w:lang w:val="el" w:eastAsia="el"/>
        </w:rPr>
        <w:t> </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ΑΝΑΠΤΥΞΗΣ ΚΑΙ ΕΠΕΝΔΥΣΕΩΝ - ΕΣΩΤΕΡΙΚΩΝ - ΥΠΟΔΟΜΩΝ ΚΑΙ ΜΕΤΑΦΟΡΩΝ</w:t>
      </w:r>
    </w:p>
    <w:p>
      <w:pPr>
        <w:spacing w:before="240" w:after="240"/>
        <w:rPr>
          <w:lang w:val="el" w:eastAsia="el"/>
        </w:rPr>
      </w:pPr>
      <w:r>
        <w:rPr>
          <w:lang w:val="el" w:eastAsia="el"/>
        </w:rPr>
        <w:t> </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τις διατάξεις του ΚΕΦΑΛΑΙΟΥ ΙΑ «ΨΗΦΙΑΚΗ ΔΙΑΦΑΝΕΙΑ - ΠΡΟΓΡΑΜΜΑ ΔΙΑΥΓΕΙΑ» του ν. 4727/2020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 2607).</w:t>
      </w:r>
    </w:p>
    <w:p>
      <w:pPr>
        <w:spacing w:before="240" w:after="240"/>
        <w:rPr>
          <w:lang w:val="el" w:eastAsia="el"/>
        </w:rPr>
      </w:pPr>
      <w:r>
        <w:rPr>
          <w:lang w:val="el" w:eastAsia="el"/>
        </w:rPr>
        <w:t>18. Της υπ' αρ. 338/2019 κοινής απόφασης του Πρωθυπουργού και του Υπουργού Οικονομικών με θέμα «Ανάθεση αρμοδιοτήτων στον Υφυπουργό Οικονομικών, Γεώργιο Ζαββό» (Β' 3051).</w:t>
      </w:r>
    </w:p>
    <w:p>
      <w:pPr>
        <w:spacing w:before="240" w:after="240"/>
        <w:rPr>
          <w:lang w:val="el" w:eastAsia="el"/>
        </w:rPr>
      </w:pPr>
      <w:r>
        <w:rPr>
          <w:lang w:val="el" w:eastAsia="el"/>
        </w:rPr>
        <w:t>19.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 4776, διόρθωση σφάλματος Β'5988) και οικ.907/Δ5/03.02.2020 (Β' 434) αποφάσεις του Υπουργού Υποδομών και Μεταφορών.</w:t>
      </w:r>
    </w:p>
    <w:p>
      <w:pPr>
        <w:spacing w:before="240" w:after="240"/>
        <w:rPr>
          <w:lang w:val="el" w:eastAsia="el"/>
        </w:rPr>
      </w:pPr>
      <w:r>
        <w:rPr>
          <w:lang w:val="el" w:eastAsia="el"/>
        </w:rPr>
        <w:t>22. Της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23.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ρ. 1-78) και ιδίως το άρθρο 50.</w:t>
      </w:r>
    </w:p>
    <w:p>
      <w:pPr>
        <w:spacing w:before="240" w:after="240"/>
        <w:rPr>
          <w:lang w:val="el" w:eastAsia="el"/>
        </w:rPr>
      </w:pPr>
      <w:r>
        <w:rPr>
          <w:lang w:val="el" w:eastAsia="el"/>
        </w:rPr>
        <w:t>24.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ρ. 1-75) και ιδίως το άρθρο 30.</w:t>
      </w:r>
    </w:p>
    <w:p>
      <w:pPr>
        <w:spacing w:before="240" w:after="240"/>
        <w:rPr>
          <w:lang w:val="el" w:eastAsia="el"/>
        </w:rPr>
      </w:pPr>
      <w:r>
        <w:rPr>
          <w:lang w:val="el" w:eastAsia="el"/>
        </w:rPr>
        <w:t>25.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ρ. 37-63) και ιδίως το άρθρο 44.</w:t>
      </w:r>
    </w:p>
    <w:p>
      <w:pPr>
        <w:spacing w:before="240" w:after="240"/>
        <w:rPr>
          <w:lang w:val="el" w:eastAsia="el"/>
        </w:rPr>
      </w:pPr>
      <w:r>
        <w:rPr>
          <w:lang w:val="el" w:eastAsia="el"/>
        </w:rPr>
        <w:t>26.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27. Της από 13ης Αυγούστου 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w:t>
      </w:r>
    </w:p>
    <w:p>
      <w:pPr>
        <w:spacing w:before="240" w:after="240"/>
        <w:rPr>
          <w:lang w:val="el" w:eastAsia="el"/>
        </w:rPr>
      </w:pPr>
      <w:r>
        <w:rPr>
          <w:lang w:val="el" w:eastAsia="el"/>
        </w:rPr>
        <w:t>28. Της υπό στοιχεία ΓΔΟΥ 842/18.08.2021 κοινής απόφασης των υπουργών Οικονομικών, Ανάπτυξης και Επενδύσεων, Υποδομών και Μεταφορών και Επικρατείας «Διαδικασία χορήγησης εφάπαξ έκτακτης οικονομικής ενίσχυσης, ως πρώτη αρωγή, έναντι στεγαστικής συνδρομής, σε ιδιοκτήτες που επλήγησαν από τις πυρκαγιές που εκδηλώθηκαν σε περιοχές της Ελληνικής Επικράτειας από την 27η Ιουλίου 2021 και έως την 13η Αυγούστου 2021» (Β' 3854).</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3.970.350 €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574.975 €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30. Τα υπ' αρ. 263598/05.08.2021, 263624/16.08.2021 και 263606/18.08.2021 έγγραφα της Αυτοτελούς Διεύθυνσης Πολιτικής Προστασίας της Περιφέρειας Πελοποννήσου, με τα οποία γνωστοποιήθηκε στην υπηρεσία οι πυρκαγιές της 2ας και 4ης Αυγούστου 2021 σε περιοχές της Περιφερειακής Ενότητας Μεσσηνίας.</w:t>
      </w:r>
    </w:p>
    <w:p>
      <w:pPr>
        <w:spacing w:before="240" w:after="240"/>
        <w:rPr>
          <w:lang w:val="el" w:eastAsia="el"/>
        </w:rPr>
      </w:pPr>
      <w:r>
        <w:rPr>
          <w:lang w:val="el" w:eastAsia="el"/>
        </w:rPr>
        <w:t>31. Το υπ’ αρ. 264394/19.08.2021 έγγραφο της Αυτοτελούς Διεύθυνσης Πολιτικής Προστασίας της Περιφερειακής Ενότητας Αρκαδίας, με το οποίο γνωστοποιήθηκαν στην υπηρεσία οι πυρκαγιές της 2ας και 4ης Αυγούστου 2021 σε περιοχές της Περιφερειακής Ενότητας Αρκαδίας.</w:t>
      </w:r>
    </w:p>
    <w:p>
      <w:pPr>
        <w:spacing w:before="240" w:after="240"/>
        <w:rPr>
          <w:lang w:val="el" w:eastAsia="el"/>
        </w:rPr>
      </w:pPr>
      <w:r>
        <w:rPr>
          <w:lang w:val="el" w:eastAsia="el"/>
        </w:rPr>
        <w:t>32. Το υπ’ αρ. 263589/17.08.2021 έγγραφο της Αυτοτελούς Διεύθυνσης Πολιτικής Προστασίας της Περιφέρειας Πελοποννήσου, με το οποίο γνωστοποιήθηκε στην υπηρεσία η πυρκαγιά της 3ης Αυγούστου 2021 σε περιοχές της Περιφερειακής Ενότητας Λακωνίας.</w:t>
      </w:r>
    </w:p>
    <w:p>
      <w:pPr>
        <w:spacing w:before="240" w:after="240"/>
        <w:rPr>
          <w:lang w:val="el" w:eastAsia="el"/>
        </w:rPr>
      </w:pPr>
      <w:r>
        <w:rPr>
          <w:lang w:val="el" w:eastAsia="el"/>
        </w:rPr>
        <w:t>33. Το με υπ’ αρ. 221848/2380/07.08.2021 έγγραφο του Τμήματος Πολιτικής Προστασίας της Αυτοτελούς Διεύθυνσης Πολιτικής Προστασίας της Περιφερειακής Ενότητας Ηλείας της Περιφέρειας Δυτικής Ελλάδας, με το οποίο γνωστοποιήθηκαν στην υπηρεσία οι πυρκαγιές της 4ης και 5ης Αυγούστου 2021 σε περιοχές της Περιφερειακής Ενότητας Ηλείας.</w:t>
      </w:r>
    </w:p>
    <w:p>
      <w:pPr>
        <w:spacing w:before="240" w:after="240"/>
        <w:rPr>
          <w:lang w:val="el" w:eastAsia="el"/>
        </w:rPr>
      </w:pPr>
      <w:r>
        <w:rPr>
          <w:lang w:val="el" w:eastAsia="el"/>
        </w:rPr>
        <w:t>34. Το υπό στοιχεία οικ.ΠΔΕ/ΔΠΠ/216811/2227/ 03.08.2021 έγγραφο της Αυτοτελούς Διεύθυνσης Πολιτικής Προστασίας της Περιφέρειας Δυτικής Ελλάδας, με το οποίο γνωστοποιήθηκε στην υπηρεσία μας η πυρκαγιά της 28ης Ιουλίου 2021 σε περιοχές της Περιφερειακής Ενότητας Αχαΐας.</w:t>
      </w:r>
    </w:p>
    <w:p>
      <w:pPr>
        <w:spacing w:before="240" w:after="240"/>
        <w:rPr>
          <w:lang w:val="el" w:eastAsia="el"/>
        </w:rPr>
      </w:pPr>
      <w:r>
        <w:rPr>
          <w:lang w:val="el" w:eastAsia="el"/>
        </w:rPr>
        <w:t>35. Τις αυτοψίες που διενήργησαν μηχανικοί του Υπουργείου Υποδομών και Μεταφορών σε κτίρια που επλήγησαν από τις πυρκαγιές του θέματος.</w:t>
      </w:r>
    </w:p>
    <w:p>
      <w:pPr>
        <w:spacing w:before="240" w:after="240"/>
        <w:rPr>
          <w:lang w:val="el" w:eastAsia="el"/>
        </w:rPr>
      </w:pPr>
      <w:r>
        <w:rPr>
          <w:lang w:val="el" w:eastAsia="el"/>
        </w:rPr>
        <w:t>36. Την υπ’ αρ. 225448/20.08.2021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37. Το υπ’ αρ. 225446/20.08.2021 έγγραφο του Τμήματος Δημοσιονομικών Αναφορών και Κρατικών Ενισχύσεων της Διεύθυνσης Προϋπολογισμού και Δημοσιονομικών Αναφορών της Γενικής Δ/νσης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38. Το γεγονός ότι οι πυρκαγιές α) της 28ης Ιουλίου 2021 σε περιοχές της Περιφερειακής Ενότητας Αχαΐας της Περιφέρειας Δυτικής Ελλάδας και β)της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ορίζονται ως φυσική καταστροφή.</w:t>
      </w:r>
    </w:p>
    <w:p>
      <w:pPr>
        <w:spacing w:before="240" w:after="240"/>
        <w:rPr>
          <w:lang w:val="el" w:eastAsia="el"/>
        </w:rPr>
      </w:pPr>
      <w:r>
        <w:rPr>
          <w:lang w:val="el" w:eastAsia="el"/>
        </w:rPr>
        <w:t>39. Τις έκτακτες στεγαστικές και λοιπές ανάγκες που έχουν δημιουργηθεί στους κατοίκους περιοχών α) της Περιφερειακής Ενότητας Αχαΐας της Περιφέρειας Δυτικής Ελλάδας τα κτίρια των οποίων επλήγησαν από την πυρκαγιά της 28ης Ιουλίου 2021 και β) των Περιφερειακών Ενοτήτων Μεσσηνίας, Αρκαδίας, Λακωνίας της Περιφέρειας Πελοποννήσου και Ηλείας της Περιφέρειας Δυτικής Ελλάδας, τα κτίρια των οποίων επλήγησαν από τις πυρκαγιές της 2ας έως και 5ης Αυγούστου 2021.</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τις πυρκαγιές α)της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προκλήθηκαν εκτεταμένες ζημιές σε πολλά κτίρια,</w:t>
      </w:r>
    </w:p>
    <w:p>
      <w:pPr>
        <w:spacing w:before="240" w:after="240"/>
        <w:rPr>
          <w:lang w:val="el" w:eastAsia="el"/>
        </w:rPr>
      </w:pPr>
      <w:r>
        <w:rPr>
          <w:b/>
          <w:bCs/>
          <w:i/>
          <w:iCs/>
          <w:lang w:val="el" w:eastAsia="el"/>
        </w:rPr>
        <w:t>αποφασίζουμε:</w:t>
      </w:r>
    </w:p>
    <w:p>
      <w:pPr>
        <w:spacing w:before="240" w:after="240"/>
        <w:rPr>
          <w:lang w:val="el" w:eastAsia="el"/>
        </w:rPr>
      </w:pPr>
      <w:r>
        <w:rPr>
          <w:b/>
          <w:bCs/>
          <w:u w:val="single"/>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Βορείου Ελλάδος και ρυθμίσεως συναφών θεμάτων», η οποία κυρώθηκε, τροποποιήθηκε και συμπληρώθηκε με τους ν. 867/1979 (Α’ 24), ν. 1048/1980 (Α’ 101), ν. 1133/1981 (Α’ 54), ν. 1190/1981 (Α’ 203) και ν. 1283/1982 (Α’ 114),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πυρκαγιές του θέματος, οι οποίες έχουν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b/>
          <w:bCs/>
          <w:lang w:val="el" w:eastAsia="el"/>
        </w:rPr>
        <w:t>Α) ΠΕΡΙΦΕΡΕΙΑΚΗ ΕΝΟΤΗΤΑ ΜΕΣΣΗΝΙΑΣ της ΠΕΡΙΦΕΡΕΙΑΣ ΠΕΛΟΠΟΝΝΗΣΟΥ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Βασιλιτσίου της Δημοτικής Ενότητας Κορώνης του Δήμου Πύλου-Νέστορος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Διαβολιτσίου, Κάτω Μελπείας και Καρνασίου της Δημοτικής Ενότητας Ανδανίας του Δήμου Οιχαλίας.</w:t>
      </w:r>
    </w:p>
    <w:p>
      <w:pPr>
        <w:spacing w:before="240" w:after="240"/>
        <w:rPr>
          <w:lang w:val="el" w:eastAsia="el"/>
        </w:rPr>
      </w:pPr>
      <w:r>
        <w:rPr>
          <w:b/>
          <w:bCs/>
          <w:lang w:val="el" w:eastAsia="el"/>
        </w:rPr>
        <w:t>Β) ΠΕΡΙΦΕΡΕΙΑΚΗ ΕΝΟΤΗΤΑ ΑΡΚΑΔΙΑΣ της ΠΕΡΙΦΕΡΕΙΑΣ ΠΕΛΟΠΟΝΝΗΣΟΥ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Χράνων της Δημοτικής Ενότητας Μεγαλόπολης του Δήμου Μεγαλόπολης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Νεοχωρίου Γορτυνίας, Καλλιανίου, Καστρακίου, Λιβαδακίου, Ραχών, Τριποταμιάς και Χώρας, της Δημοτικής Ενότητας Τροπαίων του Δήμου Γορτυνίας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Αγίου Ιωάννου Αρχαίας Ηραίας, Λιοδώρας, Λουτρών Ηραίας, Πυρρή και Χρυσοχωρίου της Δημοτικής Ενότητας Ηραίας του Δήμου Γορτυνίας.</w:t>
      </w:r>
    </w:p>
    <w:p>
      <w:pPr>
        <w:spacing w:before="240" w:after="240"/>
        <w:rPr>
          <w:lang w:val="el" w:eastAsia="el"/>
        </w:rPr>
      </w:pPr>
      <w:r>
        <w:rPr>
          <w:b/>
          <w:bCs/>
          <w:lang w:val="el" w:eastAsia="el"/>
        </w:rPr>
        <w:t>Γ) ΠΕΡΙΦΕΡΕΙΑΚΗ ΕΝΟΤΗΤΑ ΛΑΚΩΝΙΑΣ της ΠΕΡΙΦΕΡΕΙΑΣ ΠΕΛΟΠΟΝΝΗΣΟΥ</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Γυθείου, Αγίου Βασιλείου, Αιγιών, Καρβελά, Κονακίων, Κρήνης, Λυγερέα, Μαραθέας, Μυρσίνης, Πλατάνου, Σιδηροκάστρου και Σκαμνακίου της Δημοτικής Ενότητας Γυθείου του Δήμου Ανατολικής Μάνης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Καρέας της Δημοτικής Ενότητας Οιτύλου του Δήμου Ανατολικής Μάνης.</w:t>
      </w:r>
    </w:p>
    <w:p>
      <w:pPr>
        <w:spacing w:before="240" w:after="240"/>
        <w:rPr>
          <w:lang w:val="el" w:eastAsia="el"/>
        </w:rPr>
      </w:pPr>
      <w:r>
        <w:rPr>
          <w:lang w:val="el" w:eastAsia="el"/>
        </w:rPr>
        <w:t>ΔΗΜΟΣ ΑΝΑΤΟΛΙΚΗΣ ΜΑΝΗΣ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-Δημοτική Κοινότητα Κρυονερίου της Δημοτικής Ενότητας Οιτύλου.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-Δημοτικές Κοινότητες Καστανιάς, Μελίσσης και Σελεγουδίου της Δημοτικής Ενότητας Σμύνους.</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Δ) ΠΕΡΙΦΕΡΕΙΑΚΗ ΕΝΟΤΗΤΑ ΗΛΕΙΑΣ της ΠΕΡΙΦΕΡΕΙΑΣ ΔΥΤΙΚΗΣ ΕΛΛΑΔΑΣ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Καυκωνίας, Κοσκινά, Μάγειρα, Πελοπίου, Πεύκων, Πλατάνου και Ξηροκάμπου της Δημοτικής Ενότητας Αρχαίας Ολυμπίας του Δήμου Αρχαίας Ολυμπίας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Αχλαδινής, Λάλα και Νεμούτας της Δημοτικής Ενότητας Φολόης του Δήμου Αρχαίας Ολυμπίας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Βαρβασαίνης και Κολιρίου της Δημοτικής Ενότητας Πύργου του Δήμου Πύργου.</w:t>
      </w:r>
    </w:p>
    <w:p>
      <w:pPr>
        <w:spacing w:before="240" w:after="240"/>
        <w:rPr>
          <w:lang w:val="el" w:eastAsia="el"/>
        </w:rPr>
      </w:pPr>
      <w:r>
        <w:rPr>
          <w:lang w:val="el" w:eastAsia="el"/>
        </w:rPr>
        <w:t>ΔΗΜΟΣ ΑΡΧΑΙΑΣ ΟΛΥΜΠΙΑΣ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-Δημοτικές Κοινότητες Αρχαίας Πίσας, Βασιλακίου, Ηρακλείας, Κρυονερίου Ηλείας, Λιναριάς, Μουριάς, Πουρναρίου και Χελιδονίου της Δημοτικής Ενότητας Αρχαίας Ολυμπίας.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-Δημοτική Κοινότητα Δούκα της Δημοτικής Ενότητας Φολόης.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b/>
          <w:bCs/>
          <w:lang w:val="el" w:eastAsia="el"/>
        </w:rPr>
        <w:t>Ε) ΠΕΡΙΦΕΡΕΙΑΚΗ ΕΝΟΤΗΤΑ ΑΧΑΙΑΣ της ΠΕΡΙΦΕΡΕΙΑΣ ΔΥΤΙΚΗΣ ΕΛΛΑΔΑΣ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Ελικίστρας της Δημοτικής Ενότητας Πατρέων του Δήμου Πατρέων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Δροσιάς της Δημοτικής Ενότητας Τριταίας του Δήμου Ερυμάνθου.</w:t>
      </w:r>
    </w:p>
    <w:p>
      <w:pPr>
        <w:spacing w:before="240" w:after="240"/>
        <w:rPr>
          <w:lang w:val="el" w:eastAsia="el"/>
        </w:rPr>
      </w:pPr>
      <w:r>
        <w:rPr>
          <w:lang w:val="el" w:eastAsia="el"/>
        </w:rPr>
        <w:t>1.2 Το έργο της αποκατάστασης των ζημιών σε κτίρια από τις πυρκαγιές του θέματος, αναλαμβάνει η Διεύθυνση Αποκατάστασης Επιπτώσεων Φυσικών Καταστροφών Δυτικής Ελλάδος (Δ.Α.Ε.Φ.Κ.-Δ.Ε.), η οποία εφεξής στην παρούσα απόφαση θα αποκαλείται «αρμόδια Υπηρεσία».</w:t>
      </w:r>
    </w:p>
    <w:p>
      <w:pPr>
        <w:spacing w:before="240" w:after="240"/>
        <w:rPr>
          <w:lang w:val="el" w:eastAsia="el"/>
        </w:rPr>
      </w:pPr>
      <w:r>
        <w:rPr>
          <w:b/>
          <w:bCs/>
          <w:u w:val="single"/>
          <w:lang w:val="el" w:eastAsia="el"/>
        </w:rPr>
        <w:t>2. ΠΡΟΘΕΣΜΙΕΣ</w:t>
      </w:r>
    </w:p>
    <w:p>
      <w:pPr>
        <w:spacing w:before="240" w:after="240"/>
        <w:rPr>
          <w:lang w:val="el" w:eastAsia="el"/>
        </w:rPr>
      </w:pPr>
      <w:r>
        <w:rPr>
          <w:b/>
          <w:bCs/>
          <w:lang w:val="el" w:eastAsia="el"/>
        </w:rPr>
        <w:t xml:space="preserve">2.1 </w:t>
      </w:r>
      <w:r>
        <w:rPr>
          <w:lang w:val="el" w:eastAsia="el"/>
        </w:rPr>
        <w:t xml:space="preserve">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w:t>
      </w:r>
      <w:r>
        <w:rPr>
          <w:b/>
          <w:bCs/>
          <w:lang w:val="el" w:eastAsia="el"/>
        </w:rPr>
        <w:t>εντός προθεσμίας τριών (3) μηνών από τη δημοσίευση της παρούσας απόφασης στην Εφημερίδα της Κυβερνήσεως.</w:t>
      </w:r>
      <w:r>
        <w:rPr>
          <w:lang w:val="el" w:eastAsia="el"/>
        </w:rPr>
        <w:t xml:space="preserve">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b/>
          <w:bCs/>
          <w:lang w:val="el" w:eastAsia="el"/>
        </w:rPr>
        <w:t xml:space="preserve">2.2 </w:t>
      </w:r>
      <w:r>
        <w:rPr>
          <w:lang w:val="el" w:eastAsia="el"/>
        </w:rPr>
        <w:t>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σε απόφαση Υπουργού Υποδομών και Μεταφορών.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b/>
          <w:bCs/>
          <w:u w:val="single"/>
          <w:lang w:val="el" w:eastAsia="el"/>
        </w:rPr>
        <w:t>3. ΣΤΕΓΑΣΤΙΚΗ ΣΥΝΔΡΟΜΗ - ΟΡΟΙ ΚΑΙ ΠΡΟΫΠΟΘΕΣΕΙΣ</w:t>
      </w:r>
    </w:p>
    <w:p>
      <w:pPr>
        <w:spacing w:before="240" w:after="240"/>
        <w:rPr>
          <w:lang w:val="el" w:eastAsia="el"/>
        </w:rPr>
      </w:pPr>
      <w:r>
        <w:rPr>
          <w:b/>
          <w:bCs/>
          <w:lang w:val="el" w:eastAsia="el"/>
        </w:rPr>
        <w:t>3.1</w:t>
      </w:r>
      <w:r>
        <w:rPr>
          <w:lang w:val="el" w:eastAsia="el"/>
        </w:rPr>
        <w:t xml:space="preserve">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b/>
          <w:bCs/>
          <w:lang w:val="el" w:eastAsia="el"/>
        </w:rPr>
        <w:t xml:space="preserve">3.2 </w:t>
      </w:r>
      <w:r>
        <w:rPr>
          <w:lang w:val="el" w:eastAsia="el"/>
        </w:rPr>
        <w:t>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Έναντι της Σ.Σ., χορηγείται πρώτη αρωγή με τη μορφή έκτακτης εφάπαξ ενίσχυσης, για την αποκατάσταση πληγέντος κτιρίου, σύμφωνα με τους όρους και τις διατάξεις της Πράξης Νομοθετικού Περιεχομένου της 13-8-2021 (Α' 143).</w:t>
      </w:r>
    </w:p>
    <w:p>
      <w:pPr>
        <w:spacing w:before="240" w:after="240"/>
        <w:rPr>
          <w:lang w:val="el" w:eastAsia="el"/>
        </w:rPr>
      </w:pPr>
      <w:r>
        <w:rPr>
          <w:b/>
          <w:bCs/>
          <w:lang w:val="el" w:eastAsia="el"/>
        </w:rPr>
        <w:t xml:space="preserve">3.4 </w:t>
      </w:r>
      <w:r>
        <w:rPr>
          <w:lang w:val="el" w:eastAsia="el"/>
        </w:rPr>
        <w:t>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της παρ. 2 του άρθρου 14 της προαναφερθείσας Πράξης Νομοθετικού Περιεχομένου, βάσει των στοιχείων που διαθέτει.</w:t>
      </w:r>
    </w:p>
    <w:p>
      <w:pPr>
        <w:spacing w:before="240" w:after="240"/>
        <w:rPr>
          <w:lang w:val="el" w:eastAsia="el"/>
        </w:rPr>
      </w:pPr>
      <w:r>
        <w:rPr>
          <w:b/>
          <w:bCs/>
          <w:lang w:val="el" w:eastAsia="el"/>
        </w:rPr>
        <w:t>3.5</w:t>
      </w:r>
      <w:r>
        <w:rPr>
          <w:lang w:val="el" w:eastAsia="el"/>
        </w:rPr>
        <w:t xml:space="preserve"> Σε περίπτωση που στον/στην ίδιο/-α ιδιοκτήτη/-τρια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τα υπόλοιπα τ.μ.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b/>
          <w:bCs/>
          <w:lang w:val="el" w:eastAsia="el"/>
        </w:rPr>
        <w:t xml:space="preserve">3.6 </w:t>
      </w:r>
      <w:r>
        <w:rPr>
          <w:lang w:val="el" w:eastAsia="el"/>
        </w:rPr>
        <w:t>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3.7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3.8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πρώτου του ν. 4152/2013 (Α’ 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3.9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τις διατάξεις του ΚΕΦΑΛΑΙΟΥ ΙΑ «ΨΗΦΙΑΚΗ ΔΙΑΦΑΝΕΙΑ - ΠΡΟΓΡΑΜΜΑ ΔΙΑΥΓΕΙΑ» του ν. 4727/2020 (Α' 184)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lang w:val="el" w:eastAsia="el"/>
        </w:rPr>
        <w:t>3.10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b/>
          <w:bCs/>
          <w:u w:val="single"/>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w:t>
      </w:r>
    </w:p>
    <w:p>
      <w:pPr>
        <w:spacing w:before="240" w:after="240"/>
        <w:rPr>
          <w:lang w:val="el" w:eastAsia="el"/>
        </w:rPr>
      </w:pPr>
      <w:r>
        <w:rPr>
          <w:lang w:val="el" w:eastAsia="el"/>
        </w:rPr>
        <w:t>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b/>
          <w:bCs/>
          <w:lang w:val="el" w:eastAsia="el"/>
        </w:rPr>
        <w:t xml:space="preserve">4.2 </w:t>
      </w:r>
      <w:r>
        <w:rPr>
          <w:lang w:val="el" w:eastAsia="el"/>
        </w:rPr>
        <w:t>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b/>
          <w:bCs/>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περιπτώσεις i) και ii) εάν το εμβαδόν των κλειστών χώρων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 4.3(α)ϊ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spacing w:before="240" w:after="240"/>
        <w:rPr>
          <w:lang w:val="el" w:eastAsia="el"/>
        </w:rPr>
      </w:pPr>
      <w:r>
        <w:rPr>
          <w:b/>
          <w:bCs/>
          <w:lang w:val="el" w:eastAsia="el"/>
        </w:rPr>
        <w:t>4.4</w:t>
      </w:r>
      <w:r>
        <w:rPr>
          <w:lang w:val="el" w:eastAsia="el"/>
        </w:rPr>
        <w:t xml:space="preserve">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b/>
          <w:bCs/>
          <w:lang w:val="el" w:eastAsia="el"/>
        </w:rPr>
        <w:t>5. ΑΥΤΟΣΤΕΓΑΣΗ -ΑΠΟΠΕΡΑΤΩΣΗ</w:t>
      </w:r>
    </w:p>
    <w:p>
      <w:pPr>
        <w:spacing w:before="240" w:after="240"/>
        <w:rPr>
          <w:lang w:val="el" w:eastAsia="el"/>
        </w:rPr>
      </w:pPr>
      <w:r>
        <w:rPr>
          <w:b/>
          <w:bCs/>
          <w:lang w:val="el" w:eastAsia="el"/>
        </w:rPr>
        <w:t>5.1</w:t>
      </w:r>
      <w:r>
        <w:rPr>
          <w:lang w:val="el" w:eastAsia="el"/>
        </w:rPr>
        <w:t xml:space="preserve"> 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 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b/>
          <w:bCs/>
          <w:lang w:val="el" w:eastAsia="el"/>
        </w:rPr>
        <w:t>5.2 .</w:t>
      </w:r>
      <w:r>
        <w:rPr>
          <w:lang w:val="el" w:eastAsia="el"/>
        </w:rPr>
        <w:t xml:space="preserve">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b/>
          <w:bCs/>
          <w:u w:val="single"/>
          <w:lang w:val="el" w:eastAsia="el"/>
        </w:rPr>
        <w:t>6. ΕΠΙΣΚΕΥΕΣ ΚΤΙΡΙΩΝ</w:t>
      </w:r>
    </w:p>
    <w:p>
      <w:pPr>
        <w:spacing w:before="240" w:after="240"/>
        <w:rPr>
          <w:lang w:val="el" w:eastAsia="el"/>
        </w:rPr>
      </w:pPr>
      <w:r>
        <w:rPr>
          <w:b/>
          <w:bCs/>
          <w:lang w:val="el" w:eastAsia="el"/>
        </w:rPr>
        <w:t>6.1</w:t>
      </w:r>
      <w:r>
        <w:rPr>
          <w:lang w:val="el" w:eastAsia="el"/>
        </w:rPr>
        <w:t xml:space="preserve"> Για την επισκευή όλων των κτιρίων, η Σ.Σ. υπολογίζεται ανάλογα με τις ζημιές που παρουσιάζει το κτίριο και σύμφωνα με το Τιμολόγιο Επισκευών της Δ.Α.Ε.Φ.Κ.-Κ.Ε., το οποίο έχει εγκριθεί με την υπό στοιχεία οικ.6772/ Β9β/19.12.2011 (Β’ 3201) απόφαση του Υφυπουργού Υ.ΜΕ.ΔΙ., όπως τροποποιήθηκε με τις υπό στοιχεία 11756/Δ5/16.10.2018 (Β’ 4776, διόρθωση σφάλματος Β’5988) και οικ.907/Δ5/03.02.2020 (Β’ 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b/>
          <w:bCs/>
          <w:lang w:val="el" w:eastAsia="el"/>
        </w:rPr>
        <w:t xml:space="preserve">6.4 </w:t>
      </w:r>
      <w:r>
        <w:rPr>
          <w:lang w:val="el" w:eastAsia="el"/>
        </w:rPr>
        <w:t>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b/>
          <w:bCs/>
          <w:lang w:val="el" w:eastAsia="el"/>
        </w:rPr>
        <w:t xml:space="preserve">6.5 </w:t>
      </w:r>
      <w:r>
        <w:rPr>
          <w:lang w:val="el" w:eastAsia="el"/>
        </w:rPr>
        <w:t>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ενώ για τα υπόλοιπα τμήματα μόνο από Α.Δ.</w:t>
      </w:r>
    </w:p>
    <w:p>
      <w:pPr>
        <w:spacing w:before="240" w:after="240"/>
        <w:rPr>
          <w:lang w:val="el" w:eastAsia="el"/>
        </w:rPr>
      </w:pPr>
      <w:r>
        <w:rPr>
          <w:b/>
          <w:bCs/>
          <w:lang w:val="el" w:eastAsia="el"/>
        </w:rPr>
        <w:t xml:space="preserve">6.6 </w:t>
      </w:r>
      <w:r>
        <w:rPr>
          <w:lang w:val="el" w:eastAsia="el"/>
        </w:rPr>
        <w:t>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b/>
          <w:bCs/>
          <w:lang w:val="el" w:eastAsia="el"/>
        </w:rPr>
        <w:t xml:space="preserve">6.7 </w:t>
      </w:r>
      <w:r>
        <w:rPr>
          <w:lang w:val="el" w:eastAsia="el"/>
        </w:rPr>
        <w:t>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b/>
          <w:bCs/>
          <w:lang w:val="el" w:eastAsia="el"/>
        </w:rPr>
        <w:t>6.8</w:t>
      </w:r>
      <w:r>
        <w:rPr>
          <w:lang w:val="el" w:eastAsia="el"/>
        </w:rPr>
        <w:t xml:space="preserve">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b/>
          <w:bCs/>
          <w:lang w:val="el" w:eastAsia="el"/>
        </w:rPr>
        <w:t xml:space="preserve">6.9 </w:t>
      </w:r>
      <w:r>
        <w:rPr>
          <w:lang w:val="el" w:eastAsia="el"/>
        </w:rPr>
        <w:t>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ιδιοκτήτη/-τριας.</w:t>
      </w:r>
    </w:p>
    <w:p>
      <w:pPr>
        <w:spacing w:before="240" w:after="240"/>
        <w:rPr>
          <w:lang w:val="el" w:eastAsia="el"/>
        </w:rPr>
      </w:pPr>
      <w:r>
        <w:rPr>
          <w:b/>
          <w:bCs/>
          <w:lang w:val="el" w:eastAsia="el"/>
        </w:rPr>
        <w:t xml:space="preserve">6.10 </w:t>
      </w:r>
      <w:r>
        <w:rPr>
          <w:lang w:val="el" w:eastAsia="el"/>
        </w:rPr>
        <w:t>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b/>
          <w:bCs/>
          <w:lang w:val="el" w:eastAsia="el"/>
        </w:rPr>
        <w:t>6.11</w:t>
      </w:r>
      <w:r>
        <w:rPr>
          <w:lang w:val="el" w:eastAsia="el"/>
        </w:rPr>
        <w:t xml:space="preserve">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b/>
          <w:bCs/>
          <w:lang w:val="el" w:eastAsia="el"/>
        </w:rPr>
        <w:t>6.12</w:t>
      </w:r>
      <w:r>
        <w:rPr>
          <w:lang w:val="el" w:eastAsia="el"/>
        </w:rPr>
        <w:t xml:space="preserve">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b/>
          <w:bCs/>
          <w:lang w:val="el" w:eastAsia="el"/>
        </w:rPr>
        <w:t>6.13</w:t>
      </w:r>
      <w:r>
        <w:rPr>
          <w:lang w:val="el" w:eastAsia="el"/>
        </w:rPr>
        <w:t xml:space="preserve">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 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b/>
          <w:bCs/>
          <w:u w:val="single"/>
          <w:lang w:val="el" w:eastAsia="el"/>
        </w:rPr>
        <w:t>7. ΤΡΟΠΟΣ ΧΟΡΗΓΗΣΗΣ ΣΤΕΓΑΣΤΙΚΗΣ ΣΥΝΔΡΟΜΗΣ Σ.Σ.</w:t>
      </w:r>
    </w:p>
    <w:p>
      <w:pPr>
        <w:spacing w:before="240" w:after="240"/>
        <w:rPr>
          <w:lang w:val="el" w:eastAsia="el"/>
        </w:rPr>
      </w:pPr>
      <w:r>
        <w:rPr>
          <w:lang w:val="el" w:eastAsia="el"/>
        </w:rPr>
        <w:t>A ) Ανακατασκευή ή αυτοστέγαση ή αποπεράτωση κτιρίου</w:t>
      </w:r>
    </w:p>
    <w:p>
      <w:pPr>
        <w:spacing w:before="240" w:after="240"/>
        <w:rPr>
          <w:lang w:val="el" w:eastAsia="el"/>
        </w:rPr>
      </w:pPr>
      <w:r>
        <w:rPr>
          <w:lang w:val="el" w:eastAsia="el"/>
        </w:rPr>
        <w:t>Α1)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 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b/>
          <w:bCs/>
          <w:u w:val="single"/>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b/>
          <w:bCs/>
          <w:u w:val="single"/>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b/>
          <w:bCs/>
          <w:u w:val="single"/>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b/>
          <w:bCs/>
          <w:u w:val="single"/>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b/>
          <w:bCs/>
          <w:u w:val="single"/>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b/>
          <w:bCs/>
          <w:u w:val="single"/>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ΓΕΩΡΓΙΟΣ ΖΑΒΒΟΣ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 xml:space="preserve">ΚΩΝΣΤΑΝΤΙΝΟΣ ΚΑΡΑΜΑΝΛΗΣ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Δ.Α.Ε.Φ.Κ.-Κ.Ε/20916/21/Α32507.01.2022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Δ.Α.Ε.Φ.Κ.-Κ.Ε/20916/21/Α32507.01.2022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Δ.Α.Ε.Φ.Κ.-Κ.Ε/20916/21/Α32507.01.2022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Δ.Α.Ε.Φ.Κ.-Κ.Ε/20916/21/Α32507.01.2022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Δ.Α.Ε.Φ.Κ.-Κ.Ε/20916/21/Α32507.01.2022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Δ.Α.Ε.Φ.Κ.-Κ.Ε/20916/21/Α32507.01.2022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