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b/>
          <w:bCs/>
          <w:lang w:val="el" w:eastAsia="el"/>
        </w:rPr>
        <w:t>ΔΙΕΥΘΥΝΣΗ ΔΑΣΜΟΛΟΓΙΚΩΝ ΘΕΜΑΤΩΝ, ΕΙΔΙΚΩΝ</w:t>
      </w:r>
    </w:p>
    <w:p>
      <w:pPr>
        <w:pStyle w:val="Title"/>
        <w:spacing w:before="120" w:after="360"/>
        <w:rPr>
          <w:lang w:val="el" w:eastAsia="el"/>
        </w:rPr>
      </w:pPr>
      <w:r>
        <w:rPr>
          <w:b/>
          <w:bCs/>
          <w:lang w:val="el" w:eastAsia="el"/>
        </w:rPr>
        <w:t>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 ΦΟΡΟΛΟΓΙΚΩΝ</w:t>
      </w:r>
    </w:p>
    <w:p>
      <w:pPr>
        <w:spacing w:before="240" w:after="240"/>
        <w:rPr>
          <w:lang w:val="el" w:eastAsia="el"/>
        </w:rPr>
      </w:pPr>
      <w:r>
        <w:rPr>
          <w:b/>
          <w:bCs/>
          <w:lang w:val="el" w:eastAsia="el"/>
        </w:rPr>
        <w:t>ΑΠΑΛΛΑΓΩΝ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Β. Τερζής</w:t>
      </w:r>
    </w:p>
    <w:p>
      <w:pPr>
        <w:spacing w:before="240" w:after="240"/>
        <w:rPr>
          <w:lang w:val="el" w:eastAsia="el"/>
        </w:rPr>
      </w:pPr>
      <w:r>
        <w:rPr>
          <w:lang w:val="el" w:eastAsia="el"/>
        </w:rPr>
        <w:t>210-6987503</w:t>
      </w:r>
    </w:p>
    <w:p>
      <w:pPr>
        <w:spacing w:before="240" w:after="240"/>
        <w:rPr>
          <w:lang w:val="el" w:eastAsia="el"/>
        </w:rPr>
      </w:pPr>
      <w:hyperlink r:id="rId4" w:history="1">
        <w:r>
          <w:rPr>
            <w:rStyle w:val="Hyperlink"/>
            <w:color w:val="0000EE"/>
            <w:u w:color="0000EE"/>
            <w:lang w:val="el" w:eastAsia="el"/>
          </w:rPr>
          <w:t>ddtheka@aade.gr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Τροποποίηση του άρθρου 19 της υπ’ αριθμ. Τ.1940/41/14.4.2003 ΑΥΟΟ (Β’ 516) «</w:t>
      </w:r>
      <w:r>
        <w:rPr>
          <w:i/>
          <w:iCs/>
          <w:lang w:val="el" w:eastAsia="el"/>
        </w:rPr>
        <w:t>Τελω- νειακές διαδικασίες εφοδιασμού πλοίων, αεροσκαφών, διπλωματικών αποστολών και λοιπών προορισμών με τροφοεφόδια, καπνικά, καύσιμα κλπ</w:t>
      </w:r>
      <w:r>
        <w:rPr>
          <w:lang w:val="el" w:eastAsia="el"/>
        </w:rPr>
        <w:t>» και του άρθρου 3 της αρ. πρωτ. Δ. 179/7/7.2.2005 ΑΥΟΟ (Β’ 215) «</w:t>
      </w:r>
      <w:r>
        <w:rPr>
          <w:i/>
          <w:iCs/>
          <w:lang w:val="el" w:eastAsia="el"/>
        </w:rPr>
        <w:t>Προϋποθέσεις, δικαιολογητικά και διαδικασία απαλλαγής από τον ΕΦΚ που αναλογεί στα καύσιμα των βοηθητικών σκαφών θαλάσσιας υδατοκαλλιέργειας</w:t>
      </w:r>
      <w:r>
        <w:rPr>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78 παράγραφος 1 περ. β) του Εθνικού Τελωνειακού Κώδικα (ν. 2960/01, Α΄/ 265), με τις οποίες ενσωματώθηκαν στην εθνική νομοθεσία οι διατάξεις του άρθρου 14 παρ. 1γ) της Οδηγίας 2003/96/ΕΚ «Σχετικά με την αναδιάρθρωση του κοινοτικού πλαισίου φορολογίας των ενεργειακών προϊόντων και της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Του πέμπτου εδαφίου του άρθρου 40 και της παραγράφου 6 του άρθρου 78 του ν. 2960/2001.</w:t>
      </w:r>
    </w:p>
    <w:p>
      <w:pPr>
        <w:pStyle w:val="StructureList1"/>
        <w:spacing w:before="120" w:after="0"/>
        <w:rPr>
          <w:lang w:val="el" w:eastAsia="el"/>
        </w:rPr>
      </w:pPr>
      <w:r>
        <w:rPr>
          <w:lang w:val="el" w:eastAsia="el"/>
        </w:rPr>
        <w:t>γ)</w:t>
      </w:r>
      <w:r>
        <w:rPr>
          <w:lang w:val="en" w:eastAsia="en"/>
        </w:rPr>
        <w:tab/>
      </w:r>
      <w:r>
        <w:rPr>
          <w:lang w:val="el" w:eastAsia="el"/>
        </w:rPr>
        <w:t>Του άρθρου 10 παράγραφος 3 περίπτωση β) του ν. 438/1976 (Α’ 256) καθώς και την εξου- σιοδοτική διάταξη της παραγράφου 4 του ιδίου άρθρου και νόμου.</w:t>
      </w:r>
    </w:p>
    <w:p>
      <w:pPr>
        <w:pStyle w:val="StructureList1"/>
        <w:spacing w:before="120" w:after="0"/>
        <w:rPr>
          <w:lang w:val="el" w:eastAsia="el"/>
        </w:rPr>
      </w:pPr>
      <w:r>
        <w:rPr>
          <w:lang w:val="el" w:eastAsia="el"/>
        </w:rPr>
        <w:t>δ)</w:t>
      </w:r>
      <w:r>
        <w:rPr>
          <w:lang w:val="en" w:eastAsia="en"/>
        </w:rPr>
        <w:tab/>
      </w:r>
      <w:r>
        <w:rPr>
          <w:lang w:val="el" w:eastAsia="el"/>
        </w:rPr>
        <w:t>Του ν. 4256/14 «Τουριστικά πλοία και άλλες διατάξεις» (Α’ 92) όπως ισχύει.</w:t>
      </w:r>
    </w:p>
    <w:p>
      <w:pPr>
        <w:pStyle w:val="StructureList1"/>
        <w:spacing w:before="120" w:after="0"/>
        <w:rPr>
          <w:lang w:val="el" w:eastAsia="el"/>
        </w:rPr>
      </w:pPr>
      <w:r>
        <w:rPr>
          <w:lang w:val="el" w:eastAsia="el"/>
        </w:rPr>
        <w:t>ε)</w:t>
      </w:r>
      <w:r>
        <w:rPr>
          <w:lang w:val="en" w:eastAsia="en"/>
        </w:rPr>
        <w:tab/>
      </w:r>
      <w:r>
        <w:rPr>
          <w:lang w:val="el" w:eastAsia="el"/>
        </w:rPr>
        <w:t>Του ν. 4308/2014 (Α’ 251) περί των «Ελληνικών Λογιστικών Προτύπων, συναφείς ρυθμίσεις και άλλες διατάξεις», όπως ισχύουν.</w:t>
      </w:r>
    </w:p>
    <w:p>
      <w:pPr>
        <w:pStyle w:val="StructureList1"/>
        <w:spacing w:before="120" w:after="0"/>
        <w:rPr>
          <w:lang w:val="el" w:eastAsia="el"/>
        </w:rPr>
      </w:pPr>
      <w:r>
        <w:rPr>
          <w:lang w:val="el" w:eastAsia="el"/>
        </w:rPr>
        <w:t>στ)</w:t>
      </w:r>
      <w:r>
        <w:rPr>
          <w:lang w:val="en" w:eastAsia="en"/>
        </w:rPr>
        <w:tab/>
      </w:r>
      <w:r>
        <w:rPr>
          <w:lang w:val="el" w:eastAsia="el"/>
        </w:rPr>
        <w:t>Της αρ. πρωτ. Τ.1940/41/14.4.2003 ΑΥΟΟ (Β’ 516) «Τελωνειακές διαδικασίες εφοδιασμού πλοίων, αεροσκαφών, διπλωματικών αποστολών και λοιπών προορισμών με τροφοεφόδια, καπνικά, καύσιμα κλπ», όπως ισχύει.</w:t>
      </w:r>
    </w:p>
    <w:p>
      <w:pPr>
        <w:pStyle w:val="StructureList1"/>
        <w:spacing w:before="120" w:after="0"/>
        <w:rPr>
          <w:lang w:val="el" w:eastAsia="el"/>
        </w:rPr>
      </w:pPr>
      <w:r>
        <w:rPr>
          <w:lang w:val="el" w:eastAsia="el"/>
        </w:rPr>
        <w:t>ζ)</w:t>
      </w:r>
      <w:r>
        <w:rPr>
          <w:lang w:val="en" w:eastAsia="en"/>
        </w:rPr>
        <w:tab/>
      </w:r>
      <w:r>
        <w:rPr>
          <w:lang w:val="el" w:eastAsia="el"/>
        </w:rPr>
        <w:t>Της αρ. πρωτ. Δ. 179/7/7.2.2005 ΑΥΟΟ (Β’ 215) «Προϋποθέσεις, δικαιολογητικά και διαδικασία απαλλαγής από τον ΕΦΚ που αναλογεί στα καύσιμα των βοηθητικών σκαφών Θαλάσσιας υδατοκαλλιέργειας» όπως ισχύει.</w:t>
      </w:r>
    </w:p>
    <w:p>
      <w:pPr>
        <w:pStyle w:val="StructureList1"/>
        <w:spacing w:before="120" w:after="0"/>
        <w:rPr>
          <w:lang w:val="el" w:eastAsia="el"/>
        </w:rPr>
      </w:pPr>
      <w:r>
        <w:rPr>
          <w:lang w:val="el" w:eastAsia="el"/>
        </w:rPr>
        <w:t>η)</w:t>
      </w:r>
      <w:r>
        <w:rPr>
          <w:lang w:val="en" w:eastAsia="en"/>
        </w:rPr>
        <w:tab/>
      </w:r>
      <w:r>
        <w:rPr>
          <w:lang w:val="el" w:eastAsia="el"/>
        </w:rPr>
        <w:t>Της αριθ. ΠΟΛ.1208/9.11.2018 (Β’ 5259) Απόφασης της Υφυπουργού Οικονομικών «Διαβίβαση δεδομένων των παραστατικών πωλήσεων που εκδίδονται από Φ.Η.Μ., που είναι εγκατεστημένες σε πρατήρια καυσίμων, σε εγκαταστάσεις πωλητών πετρελαίου θέρμανσης και σε προμηθευτές υγραερίου ή πεπιεσμένου φυσικού αερίου σε πρατήρια, σε βάση δεδομένων της Ανεξάρτητης Αρχής Δημοσίων Εσόδων (Α.Α.Δ.Ε.).»</w:t>
      </w:r>
    </w:p>
    <w:p>
      <w:pPr>
        <w:pStyle w:val="StructureList1"/>
        <w:spacing w:before="120" w:after="0"/>
        <w:rPr>
          <w:lang w:val="el" w:eastAsia="el"/>
        </w:rPr>
      </w:pPr>
      <w:r>
        <w:rPr>
          <w:lang w:val="el" w:eastAsia="el"/>
        </w:rPr>
        <w:t>θ)</w:t>
      </w:r>
      <w:r>
        <w:rPr>
          <w:lang w:val="en" w:eastAsia="en"/>
        </w:rPr>
        <w:tab/>
      </w:r>
      <w:r>
        <w:rPr>
          <w:lang w:val="el" w:eastAsia="el"/>
        </w:rPr>
        <w:t>Της αριθ. ΠΟΛ.1218/3.12.2018 (Β’ 5562) Απόφασης του Διοικητή Α.Α.Δ.Ε. «Διασύνδεση των φορολογικών ηλεκτρονικών μηχανισμών (Φ.Η.Μ.) των πρατηρίων καυσίμων με τις αντλίες διάθεσης υγραερίου κίνησης ή πεπιεσμένου φυσικού αερίου για την έκδοση των παραστατικών πωλήσεων. Καθορισμός τεχνικών προδιαγραφών.»</w:t>
      </w:r>
    </w:p>
    <w:p>
      <w:pPr>
        <w:pStyle w:val="StructureList1"/>
        <w:spacing w:before="120" w:after="0"/>
        <w:rPr>
          <w:lang w:val="el" w:eastAsia="el"/>
        </w:rPr>
      </w:pPr>
      <w:r>
        <w:rPr>
          <w:lang w:val="el" w:eastAsia="el"/>
        </w:rPr>
        <w:t>ι)</w:t>
      </w:r>
      <w:r>
        <w:rPr>
          <w:lang w:val="en" w:eastAsia="en"/>
        </w:rPr>
        <w:tab/>
      </w:r>
      <w:r>
        <w:rPr>
          <w:lang w:val="el" w:eastAsia="el"/>
        </w:rPr>
        <w:t>Της Ε.2056/9-4-2019 ΑΔΑ:Ψ69Κ46ΜΠ3Ζ-ΙΙΧ Εγκυκλίου Διαταγής Διοικητή Α.Α.Δ.Ε. «Παροχή διευκρινήσεων αναφορικά με την ΠΟΛ 1208/2018 Απόφαση της Υφυπουργού Οικονομικών και την ΠΟΛ 1218/2018 Απόφαση του Διοικητή της ΑΑΔΕ»</w:t>
      </w:r>
    </w:p>
    <w:p>
      <w:pPr>
        <w:spacing w:before="240" w:after="240"/>
        <w:rPr>
          <w:lang w:val="el" w:eastAsia="el"/>
        </w:rPr>
      </w:pPr>
      <w:r>
        <w:rPr>
          <w:lang w:val="el" w:eastAsia="el"/>
        </w:rPr>
        <w:t>2. Την αριθμ. Δ6Α 1015213 ΕΞ 2013/28-1-2013 (Β΄ 130 και Β΄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spacing w:before="240" w:after="240"/>
        <w:rPr>
          <w:lang w:val="el" w:eastAsia="el"/>
        </w:rPr>
      </w:pPr>
      <w:r>
        <w:rPr>
          <w:lang w:val="el" w:eastAsia="el"/>
        </w:rPr>
        <w:t>3. Το Κεφάλαιο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τα άρθρα 2 παρ. 2 περιπτ. δ, 7 παρ. 1, 14 και 41 αυτού.</w:t>
      </w:r>
    </w:p>
    <w:p>
      <w:pPr>
        <w:spacing w:before="240" w:after="240"/>
        <w:rPr>
          <w:lang w:val="el" w:eastAsia="el"/>
        </w:rPr>
      </w:pPr>
      <w:r>
        <w:rPr>
          <w:lang w:val="el" w:eastAsia="el"/>
        </w:rPr>
        <w:t>4.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w:t>
      </w:r>
    </w:p>
    <w:p>
      <w:pPr>
        <w:spacing w:before="240" w:after="240"/>
        <w:rPr>
          <w:lang w:val="el" w:eastAsia="el"/>
        </w:rPr>
      </w:pPr>
      <w:r>
        <w:rPr>
          <w:lang w:val="el" w:eastAsia="el"/>
        </w:rPr>
        <w:t>5. Την αριθμ. 39/3/30-11-2017 (Υ.Ο.Δ.Δ. 689) Απόφαση του Συμβουλίου Διοίκησης της Α.Α.Δ.Ε. «Ανανέωση της θητείας του Διοικητή και της αριθμ. 5294 ΕΞ 2020/17-1-2020 Α.Υ.Ο. «Ανανέωση θητείας Διοικητή Α.Α.Δ.Ε.» (ΦΕΚ 27/ ΥΟΔΔ/ 17-1-2020).</w:t>
      </w:r>
    </w:p>
    <w:p>
      <w:pPr>
        <w:spacing w:before="240" w:after="240"/>
        <w:rPr>
          <w:lang w:val="el" w:eastAsia="el"/>
        </w:rPr>
      </w:pPr>
      <w:r>
        <w:rPr>
          <w:lang w:val="el" w:eastAsia="el"/>
        </w:rPr>
        <w:t>6. Την αριθμ. Δ ΟΡΓ.Α 1125859ΕΞ2020/23.10.2020 (Β΄4739) Απόφαση του Διοικητή της Ανεξάρτητης Αρχής Δημοσίων Εσόδων «Οργανισμός της Ανεξάρτητης Αρχής Δημοσίων Εσόδων (Α.Α- .Δ.Ε.)».</w:t>
      </w:r>
    </w:p>
    <w:p>
      <w:pPr>
        <w:spacing w:before="240" w:after="240"/>
        <w:rPr>
          <w:lang w:val="el" w:eastAsia="el"/>
        </w:rPr>
      </w:pPr>
      <w:r>
        <w:rPr>
          <w:lang w:val="el" w:eastAsia="el"/>
        </w:rPr>
        <w:t>7. Την ανάγκη συμπλήρωσης του άρθρου 19 της αριθ. πρωτ. Τ.1940/41/14.4.2003 ΑΥΟΟ (Β’ 516) και του άρθρου 3 της αριθ. πρωτ. Δ. 179/7/7.2.2005 ΑΥΟΟ (Β’ 215) όσον αφορά την υποβολή επιπλέον δικαιολογητικών που διασφαλίζουν την επιστροφή του ΕΦΚ, στις περιπτώσεις πωλή- σεων καυσίμου στις εγκαταστάσεις πρατηρίων με σκοπό τον εφοδιασμό σκαφών.</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19 της αριθ. Τ.1940/41/2.5.2003 ΑΥΟΟ ( Β΄516 )</w:t>
      </w:r>
    </w:p>
    <w:p>
      <w:pPr>
        <w:pStyle w:val="MainText"/>
        <w:spacing w:before="120" w:after="0"/>
        <w:rPr>
          <w:lang w:val="el" w:eastAsia="el"/>
        </w:rPr>
      </w:pPr>
      <w:r>
        <w:rPr>
          <w:b/>
          <w:bCs/>
          <w:lang w:val="el" w:eastAsia="el"/>
        </w:rPr>
        <w:t>1.</w:t>
      </w:r>
      <w:r>
        <w:rPr>
          <w:lang w:val="el" w:eastAsia="el"/>
        </w:rPr>
        <w:t xml:space="preserve"> Το στοιχείο i της περίπτωσης α) της παραγράφου 3 του άρθρου 19 της αριθμ. Τ. 1940/41/2.5.2003 ΑΥΟΟ, αντικαθίστανται ως ακολούθως:</w:t>
      </w:r>
    </w:p>
    <w:p>
      <w:pPr>
        <w:spacing w:before="240" w:after="240"/>
        <w:rPr>
          <w:lang w:val="el" w:eastAsia="el"/>
        </w:rPr>
      </w:pPr>
      <w:r>
        <w:rPr>
          <w:lang w:val="el" w:eastAsia="el"/>
        </w:rPr>
        <w:t>« i. Τα παραστατικά πώλησης (τιμολόγια) που αντιστοιχούν στις παραληφθείσες ποσότητες καυσίμων για το χρονικό διάστημα που καταλαμβάνει η αίτηση επιστροφής ΕΦΚ, τα συναφή παραστατικά διακίνησης εφόσον υπάρχει υποχρέωση έκδοσης, καθώς και κάθε άλλο αποδεικτικό επαλήθευσης της συναλλαγής που ζητηθεί από το αρμόδιο Τελωνείο. Mε τα παραστατικά πώλησης συνυποβάλλονται τα αποδεικτικά εξόφλησής τους, αποκλειστικά, με τραπεζικό μέσο πληρωμής ανεξαρτήτως ποσού».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του άρθρου 3 της αριθμ. Δ. 179/7/7.2.2005 ΑΥΟΟ (Β΄215)</w:t>
      </w:r>
    </w:p>
    <w:p>
      <w:pPr>
        <w:pStyle w:val="MainText"/>
        <w:spacing w:before="120" w:after="0"/>
        <w:rPr>
          <w:lang w:val="el" w:eastAsia="el"/>
        </w:rPr>
      </w:pPr>
      <w:r>
        <w:rPr>
          <w:b/>
          <w:bCs/>
          <w:lang w:val="el" w:eastAsia="el"/>
        </w:rPr>
        <w:t>1.</w:t>
      </w:r>
      <w:r>
        <w:rPr>
          <w:lang w:val="el" w:eastAsia="el"/>
        </w:rPr>
        <w:t xml:space="preserve"> Το στοιχείο i της παραγράφου 4 του άρθρου 3 της αριθμ. Δ. 179/7/7.2.2005 ΑΥΟΟ, αντικαθίσταται ως ακολούθως:</w:t>
      </w:r>
    </w:p>
    <w:p>
      <w:pPr>
        <w:spacing w:before="240" w:after="240"/>
        <w:rPr>
          <w:lang w:val="el" w:eastAsia="el"/>
        </w:rPr>
      </w:pPr>
      <w:r>
        <w:rPr>
          <w:lang w:val="el" w:eastAsia="el"/>
        </w:rPr>
        <w:t>« i. Τα παραστατικά πώλησης (τιμολόγια) που αντιστοιχούν στις παραληφθείσες ποσότητες καυσίμων για το χρονικό διάστημα που καταλαμβάνει η αίτηση επιστροφής ΕΦΚ, τα συναφή παραστατικά διακίνησης εφόσον υπάρχει υποχρέωση έκδοσης, καθώς και κάθε άλλο αποδεικτικό επαλήθευσης της συναλλαγής που ζητηθεί από το αρμόδιο Τελωνείο. Mε τα παραστατικά πώλησης συνυποβάλλονται τα αποδεικτικά εξόφλησής τους, αποκλειστικά, με τραπεζικό μέσο πληρωμής ανεξαρτήτως ποσού».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Τα παραστατικά που ορίζονται στα ανωτέρω άρθρα 1 και 2 και τα οποία έχουν εκδοθεί μέχρι την έναρξη ισχύος της παρούσας, θα γίνονται δεκτά από τα Τελωνεία Επιστροφής Ε.Φ.Κ, χωρίς τις προϋποθέσεις που ορίζονται στα άρθρα αυτά.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1 Ιανουαρίου 2022.</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pStyle w:val="MainText"/>
        <w:spacing w:before="120" w:after="0"/>
        <w:rPr>
          <w:lang w:val="el" w:eastAsia="el"/>
        </w:rPr>
      </w:pPr>
      <w:r>
        <w:rPr>
          <w:b/>
          <w:bCs/>
          <w:lang w:val="el" w:eastAsia="el"/>
        </w:rPr>
        <w:t>2.</w:t>
      </w:r>
      <w:r>
        <w:rPr>
          <w:lang w:val="el" w:eastAsia="el"/>
        </w:rPr>
        <w:t xml:space="preserve"> (Για δημοσίευση της παρούσας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Τελωνειακές Περιφέρειες (Για άμεση ενημέρωση των Τελωνείων αρμοδιότητάς τους)</w:t>
      </w:r>
    </w:p>
    <w:p>
      <w:pPr>
        <w:pStyle w:val="MainText"/>
        <w:spacing w:before="120" w:after="0"/>
        <w:rPr>
          <w:lang w:val="el" w:eastAsia="el"/>
        </w:rPr>
      </w:pPr>
      <w:r>
        <w:rPr>
          <w:b/>
          <w:bCs/>
          <w:lang w:val="el" w:eastAsia="el"/>
        </w:rPr>
        <w:t>4.</w:t>
      </w:r>
      <w:r>
        <w:rPr>
          <w:lang w:val="el" w:eastAsia="el"/>
        </w:rPr>
        <w:t xml:space="preserve"> Όλες οι Τελωνειακές Αρχές</w:t>
      </w:r>
    </w:p>
    <w:p>
      <w:pPr>
        <w:pStyle w:val="MainText"/>
        <w:spacing w:before="120" w:after="0"/>
        <w:rPr>
          <w:lang w:val="el" w:eastAsia="el"/>
        </w:rPr>
      </w:pPr>
      <w:r>
        <w:rPr>
          <w:b/>
          <w:bCs/>
          <w:lang w:val="el" w:eastAsia="el"/>
        </w:rPr>
        <w:t>5.</w:t>
      </w:r>
      <w:r>
        <w:rPr>
          <w:lang w:val="el" w:eastAsia="el"/>
        </w:rPr>
        <w:t xml:space="preserve"> Διεύθυνση Υποστήριξης Ηλεκτρονικών Υπηρεσιών (για ενημέρωση της «Ηλεκτρονικής Βιβλιοθήκης») Email:</w:t>
      </w:r>
      <w:hyperlink r:id="rId6" w:history="1">
        <w:r>
          <w:rPr>
            <w:rStyle w:val="Hyperlink"/>
            <w:color w:val="0000EE"/>
            <w:u w:color="0000EE"/>
            <w:lang w:val="el" w:eastAsia="el"/>
          </w:rPr>
          <w:t>siteadmin@ aade.gr</w:t>
        </w:r>
      </w:hyperlink>
      <w:r>
        <w:rPr>
          <w:lang w:val="el" w:eastAsia="el"/>
        </w:rPr>
        <w:t>.</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Δασμολογικών Θεμάτων, Ειδικών Καθεστώτων και Απαλλαγών – Τμ. Γ΄</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ΕΦΚ &amp; ΦΠΑ</w:t>
      </w:r>
    </w:p>
    <w:p>
      <w:pPr>
        <w:pStyle w:val="MainText"/>
        <w:spacing w:before="120" w:after="0"/>
        <w:rPr>
          <w:lang w:val="el" w:eastAsia="el"/>
        </w:rPr>
      </w:pPr>
      <w:r>
        <w:rPr>
          <w:b/>
          <w:bCs/>
          <w:lang w:val="el" w:eastAsia="el"/>
        </w:rPr>
        <w:t>6.</w:t>
      </w:r>
      <w:r>
        <w:rPr>
          <w:lang w:val="el" w:eastAsia="el"/>
        </w:rPr>
        <w:t xml:space="preserve"> Δ/νση Στρατηγικής Τελωνειακών Παραβάσεων &amp; Ελέγχων</w:t>
      </w:r>
    </w:p>
    <w:p>
      <w:pPr>
        <w:pStyle w:val="MainText"/>
        <w:spacing w:before="120" w:after="0"/>
        <w:rPr>
          <w:lang w:val="el" w:eastAsia="el"/>
        </w:rPr>
      </w:pPr>
      <w:r>
        <w:rPr>
          <w:b/>
          <w:bCs/>
          <w:lang w:val="el" w:eastAsia="el"/>
        </w:rPr>
        <w:t>7.</w:t>
      </w:r>
      <w:r>
        <w:rPr>
          <w:lang w:val="el" w:eastAsia="el"/>
        </w:rPr>
        <w:t xml:space="preserve"> Δ/νση Ηλεκτρονικού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