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98491</w:t>
      </w:r>
    </w:p>
    <w:p>
      <w:pPr>
        <w:pStyle w:val="PreambelText"/>
        <w:spacing w:before="240" w:after="240"/>
        <w:rPr>
          <w:lang w:val="el" w:eastAsia="el"/>
        </w:rPr>
      </w:pPr>
      <w:r>
        <w:rPr>
          <w:b/>
          <w:bCs/>
          <w:lang w:val="el" w:eastAsia="el"/>
        </w:rPr>
        <w:t>Αντικατάσταση της υπ’ αρ. 130022/07-12-2020 απόφασης του Υπουργού Ανάπτυξης και Επενδύσεων (Β’ 5387) περί καθορισμού ανώτατων ορίων τιμών πώλησης αγαθών και παροχής υπηρεσιών, λόγω της κατάστασης εκτάκτου ανάγκης που προκάλεσε η πανδημία του κορωνοϊού COVID-19.</w:t>
      </w:r>
    </w:p>
    <w:p>
      <w:pPr>
        <w:pStyle w:val="PreambelText"/>
        <w:spacing w:before="240" w:after="240"/>
        <w:rPr>
          <w:lang w:val="el" w:eastAsia="el"/>
        </w:rPr>
      </w:pPr>
      <w:r>
        <w:rPr>
          <w:b/>
          <w:bCs/>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(β) του άρθρου 90 του Κώδικα Νομοθεσίας για την Κυβέρνηση και τα κυβερνητικά όργανα, που κυρώθηκε με το πρώτο άρθρο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(γ) την παρ. 1 του άρθρου εικοστού πρώτου της από 20.3.2020 Πράξης Νομοθετικού Περιεχομένου (Α’ 68), η οποία κυρώθηκε με το άρθρο 1 του ν. 4683/2020 «Κύρωση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 (Α’ 83), όπως αντικαταστάθηκε από το άρθρο 28 «Περιορισμοί ως προς την πώληση αγαθών» του ν. 4753/2020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 227) και από το άρθρο 80 του ν. 4758/2020 «Περιστολή του λαθρεμπορίου - Κύρωση του Πρωτοκόλλου για την εξάλειψη του παράνομου εμπορίου καπνού, διατάξεις περί κοινωφελών περιουσιών σχολαζουσών κληρονομιών, διατάξεις για τα τέλη κυκλοφορίας και τα τέλη ταξινόμησης, κίνητρα για την προσέλευση φορολογικών κατοίκων και άλλες διατάξεις» (Α’ 242),</w:t>
      </w:r>
    </w:p>
    <w:p>
      <w:pPr>
        <w:pStyle w:val="PreambelText"/>
        <w:spacing w:before="240" w:after="240"/>
        <w:rPr>
          <w:lang w:val="el" w:eastAsia="el"/>
        </w:rPr>
      </w:pPr>
      <w:r>
        <w:rPr>
          <w:lang w:val="el" w:eastAsia="el"/>
        </w:rPr>
        <w:t>(δ) της παρ. 7 του άρθρου 58 του ν. 4818/ 2021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β) Τροποποιήσεις του ν. 4649/2019 “Πρόγραμμα παροχής εγγύησης σε τιτλοποιήσεις πιστωτικών ιδρυμάτων” (Α’ 206), βάσει της υπό στοιχεία C(2021) 2545/9.4.2021 (2021/N) εγκριτικής απόφασης της Ευρωπαϊκής Επιτροπής για παράταση του προγράμματος «ΗΡΑΚΛΗΣ» γ) Διατάξεις για τη ρύθμιση οφειλών και την παροχή δεύτερης ευκαιρίας Τροποποιήσεις του ν. 4738/2020 και λοιπές διατάξεις δ) Λοιπές επείγουσες διατάξεις αρμοδιότητας Υπουργείων Ανάπτυξης και Επενδύσεων, Εθνικής Άμυνας, Πολιτισμού και Αθλητισμού, Υποδομών και Μεταφορών» (Α’ 124),</w:t>
      </w:r>
    </w:p>
    <w:p>
      <w:pPr>
        <w:pStyle w:val="PreambelText"/>
        <w:spacing w:before="240" w:after="240"/>
        <w:rPr>
          <w:lang w:val="el" w:eastAsia="el"/>
        </w:rPr>
      </w:pPr>
      <w:r>
        <w:rPr>
          <w:lang w:val="el" w:eastAsia="el"/>
        </w:rPr>
        <w:t>(ε) την υπ’ αρ. 34077-01.04.2020 απόφαση του Υφυπουργού Ανάπτυξης και Επενδύσεων «Ρύθμιση επιμέρους ζητημάτων για την εφαρμογή του άρθρου εικοστού πρώτου από της 20.03.2020 της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(Β’ 1116),</w:t>
      </w:r>
    </w:p>
    <w:p>
      <w:pPr>
        <w:pStyle w:val="PreambelText"/>
        <w:spacing w:before="240" w:after="240"/>
        <w:rPr>
          <w:lang w:val="el" w:eastAsia="el"/>
        </w:rPr>
      </w:pPr>
      <w:r>
        <w:rPr>
          <w:lang w:val="el" w:eastAsia="el"/>
        </w:rPr>
        <w:t>(στ) του π.δ. 147/2017 «Οργανισμός Υπουργείου Οικονομίας και Ανάπτυξης» (Α’ 192),</w:t>
      </w:r>
    </w:p>
    <w:p>
      <w:pPr>
        <w:pStyle w:val="PreambelText"/>
        <w:spacing w:before="240" w:after="240"/>
        <w:rPr>
          <w:lang w:val="el" w:eastAsia="el"/>
        </w:rPr>
      </w:pPr>
      <w:r>
        <w:rPr>
          <w:lang w:val="el" w:eastAsia="el"/>
        </w:rPr>
        <w:t>(ζ)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(η) του π.δ. 83/2019 «Διορισμός Αντιπροέδρου της Κυβέρνησης, Υπουργών, Αναπληρωτών Υπουργών και Υφυπουργών» (Α’ 121), και διορθώσεις σφαλμάτων στο π.δ. 83/ 2019 (Α’ 126).</w:t>
      </w:r>
    </w:p>
    <w:p>
      <w:pPr>
        <w:pStyle w:val="PreambelText"/>
        <w:spacing w:before="240" w:after="240"/>
        <w:rPr>
          <w:lang w:val="el" w:eastAsia="el"/>
        </w:rPr>
      </w:pPr>
      <w:r>
        <w:rPr>
          <w:lang w:val="el" w:eastAsia="el"/>
        </w:rPr>
        <w:t>(θ)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 xml:space="preserve">2. Tην υπό στοιχεία Δ1α/Γ.Π.οικ. 75342/24.11.2020 </w:t>
      </w:r>
    </w:p>
    <w:p>
      <w:pPr>
        <w:pStyle w:val="PreambelText"/>
        <w:spacing w:before="240" w:after="240"/>
        <w:rPr>
          <w:lang w:val="el" w:eastAsia="el"/>
        </w:rPr>
      </w:pPr>
      <w:r>
        <w:rPr>
          <w:lang w:val="el" w:eastAsia="el"/>
        </w:rPr>
        <w:t>απόφαση του Υπουργού Υγείας «Εξειδίκευση των αναγκαίων χαρακτηριστικών διαγνωστικής επάρκειας των ιατροτεχνολογικών προϊόντων ταχέων ελέγχων αντιγόνωνSARSCoV-2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w:t>
      </w:r>
    </w:p>
    <w:p>
      <w:pPr>
        <w:pStyle w:val="PreambelText"/>
        <w:spacing w:before="240" w:after="240"/>
        <w:rPr>
          <w:lang w:val="el" w:eastAsia="el"/>
        </w:rPr>
      </w:pPr>
      <w:r>
        <w:rPr>
          <w:lang w:val="el" w:eastAsia="el"/>
        </w:rPr>
        <w:t>3. Tην υπό στοιχεία Δ1α/Γ.Π.οικ. 76273/26.11.2020 απόφαση του Υπουργού Υγείας «Τροποποίηση της υπό στοιχεία Δ1α/ΓΠ.οικ. 75342/24.11.2020 απόφασης του Υπουργού Υγείας “Εξειδίκευση των αναγκαίων χαρακτηριστικών διαγνωστικής επάρκειας των ιατροτεχνολογικών προϊόντων ταχέων ελέγχων αντιγόνων 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 (Β’ 5249).</w:t>
      </w:r>
    </w:p>
    <w:p>
      <w:pPr>
        <w:pStyle w:val="PreambelText"/>
        <w:spacing w:before="240" w:after="240"/>
        <w:rPr>
          <w:lang w:val="el" w:eastAsia="el"/>
        </w:rPr>
      </w:pPr>
      <w:r>
        <w:rPr>
          <w:lang w:val="el" w:eastAsia="el"/>
        </w:rPr>
        <w:t>4. Την υπό στοιχεία Δ1α/Γ.Π.οικ. 7114/01.02.2021 απόφαση του Υπουργού Υγείας «Τροποποίηση της υπό στοιχεία Δ1α/ΓΠ.οικ. 75342/24.11.2020 απόφασης του Υπουργού Υγείας “Εξειδίκευση των αναγκαίων χαρακτηριστικών διαγνωστικής επάρκειας των ιατροτεχνολογικών προϊόντων ταχέων ελέγχων αντιγόνων 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 (Β’ 362).</w:t>
      </w:r>
    </w:p>
    <w:p>
      <w:pPr>
        <w:pStyle w:val="PreambelText"/>
        <w:spacing w:before="240" w:after="240"/>
        <w:rPr>
          <w:lang w:val="el" w:eastAsia="el"/>
        </w:rPr>
      </w:pPr>
      <w:r>
        <w:rPr>
          <w:lang w:val="el" w:eastAsia="el"/>
        </w:rPr>
        <w:t>5. Την κατάσταση έκτακτης ανάγκης που προκάλεσε η πανδημία του κορωνοϊού COVID-19 και τη διασφάλιση της πρόσβασης των πολιτών σε υπηρεσίες υγείας που αφορούν στην ανίχνευση του κορωνοϊού COVID-19.</w:t>
      </w:r>
    </w:p>
    <w:p>
      <w:pPr>
        <w:pStyle w:val="PreambelText"/>
        <w:spacing w:before="240" w:after="240"/>
        <w:rPr>
          <w:lang w:val="el" w:eastAsia="el"/>
        </w:rPr>
      </w:pPr>
      <w:r>
        <w:rPr>
          <w:lang w:val="el" w:eastAsia="el"/>
        </w:rPr>
        <w:t>6. Την ανάγκη για την προστασία των καταναλωτών μέσω της παροχής των αγαθών και των υπηρεσιών που συνέχονται με την ανίχνευση του κορωνοϊού COVID-19 σε προσιτές τιμές, οι οποίες δεν επηρεάζονται από φαινόμενα δόλιας εκμετάλλευσης της αυξημένης ζήτησης για αυτά, καθώς και από λοιπές αθέμιτες εμπορικές πρακτικές.</w:t>
      </w:r>
    </w:p>
    <w:p>
      <w:pPr>
        <w:pStyle w:val="PreambelText"/>
        <w:spacing w:before="240" w:after="240"/>
        <w:rPr>
          <w:lang w:val="el" w:eastAsia="el"/>
        </w:rPr>
      </w:pPr>
      <w:r>
        <w:rPr>
          <w:lang w:val="el" w:eastAsia="el"/>
        </w:rPr>
        <w:t>7. Την ανάγκη καθορισμού ανώτατων τιμών σε αγαθά και υπηρεσίες για τη διασφάλιση της δημόσιας υγείας που σχετίζονται άμεσα με την πρόληψη και τη διάγνωση του κορωνοϊού SARS-CoV2.</w:t>
      </w:r>
    </w:p>
    <w:p>
      <w:pPr>
        <w:pStyle w:val="PreambelText"/>
        <w:spacing w:before="240" w:after="240"/>
        <w:rPr>
          <w:lang w:val="el" w:eastAsia="el"/>
        </w:rPr>
      </w:pPr>
      <w:r>
        <w:rPr>
          <w:lang w:val="el" w:eastAsia="el"/>
        </w:rPr>
        <w:t>8. Την υπ’ αρ. 97206/07-09-2021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Ανώτατα όρια τιμών χρέωσης παροχής αγαθών και υπηρεσιών που συνέχονται με την ανίχνευση του κορωνοϊού COVID-19</w:t>
      </w:r>
    </w:p>
    <w:p>
      <w:pPr>
        <w:spacing w:before="240" w:after="240"/>
        <w:rPr>
          <w:lang w:val="el" w:eastAsia="el"/>
        </w:rPr>
      </w:pPr>
      <w:r>
        <w:rPr>
          <w:lang w:val="el" w:eastAsia="el"/>
        </w:rPr>
        <w:t>Ορίζονται ως ανώτατα όρια τιμών πώλησης αγαθών και παροχής υπηρεσιών, μη συνυπολογιζομένου σε αυτά του Φόρου Προστιθέμενης Αξίας (Φ.Π.Α), τα ακόλουθα:</w:t>
      </w:r>
    </w:p>
    <w:p>
      <w:pPr>
        <w:spacing w:before="240" w:after="240"/>
        <w:rPr>
          <w:lang w:val="el" w:eastAsia="el"/>
        </w:rPr>
      </w:pPr>
      <w:r>
        <w:rPr>
          <w:lang w:val="el" w:eastAsia="el"/>
        </w:rPr>
        <w:t>1) Για το τεστ ανίχνευσης του κορωνοϊού SARS-CoV-2 με τη μέθοδο μοριακού ελέγχου Real Time - PCR:</w:t>
      </w:r>
    </w:p>
    <w:p>
      <w:pPr>
        <w:pStyle w:val="StructureList1"/>
        <w:spacing w:before="120" w:after="0"/>
        <w:rPr>
          <w:lang w:val="el" w:eastAsia="el"/>
        </w:rPr>
      </w:pPr>
      <w:r>
        <w:rPr>
          <w:lang w:val="el" w:eastAsia="el"/>
        </w:rPr>
        <w:t>α)</w:t>
      </w:r>
      <w:r>
        <w:rPr>
          <w:lang w:val="en" w:eastAsia="en"/>
        </w:rPr>
        <w:tab/>
      </w:r>
      <w:r>
        <w:rPr>
          <w:lang w:val="el" w:eastAsia="el"/>
        </w:rPr>
        <w:t>ως ανώτατο όριο τιμής χρέωσης παροχής υπηρεσίας (ανάλυση δείγματος κ.λπ.), περιλαμβανόμενων των απαιτούμενων αντιδραστηρίων και αναλώσιμων υλικών, το ποσό των σαράντα ευρώ (40 €) και</w:t>
      </w:r>
    </w:p>
    <w:p>
      <w:pPr>
        <w:pStyle w:val="StructureList1"/>
        <w:spacing w:before="120" w:after="0"/>
        <w:rPr>
          <w:lang w:val="el" w:eastAsia="el"/>
        </w:rPr>
      </w:pPr>
      <w:r>
        <w:rPr>
          <w:lang w:val="el" w:eastAsia="el"/>
        </w:rPr>
        <w:t>β)</w:t>
      </w:r>
      <w:r>
        <w:rPr>
          <w:lang w:val="en" w:eastAsia="en"/>
        </w:rPr>
        <w:tab/>
      </w:r>
      <w:r>
        <w:rPr>
          <w:lang w:val="el" w:eastAsia="el"/>
        </w:rPr>
        <w:t>ως ανώτατο όριο τιμής χρέωσης της δειγματοληψίας στα ιδιωτικά διαγνωστικά εργαστήρια και στις ιδιωτικές κλινικές, το ποσό των είκοσι ευρώ (20 €).</w:t>
      </w:r>
    </w:p>
    <w:p>
      <w:pPr>
        <w:spacing w:before="240" w:after="240"/>
        <w:rPr>
          <w:lang w:val="el" w:eastAsia="el"/>
        </w:rPr>
      </w:pPr>
      <w:r>
        <w:rPr>
          <w:lang w:val="el" w:eastAsia="el"/>
        </w:rPr>
        <w:t>2) Για το τεστ ανίχνευσης αντιγόνου του κορωνοϊού SARS-CoV-2 με τη μέθοδο ταχείας δοκιμασίας (rapid test) ως ανώτατο όριο του αθροίσματος της τιμής χρέωσης παροχής υπηρεσίας (ανάλυση κ.λπ.), περιλαμβανόμενων των απαιτούμενων αντιδραστηρίων και αναλώσιμων υλικών, και της δειγματοληψίας στα ιδιωτικά διαγνωστικά εργαστήρια, στις ιδιωτικές κλινικές και σε κάθε άλλο σημείο λιανικής πώλησης το ποσό των δέκα ευρώ (10 €).</w:t>
      </w:r>
    </w:p>
    <w:p>
      <w:pPr>
        <w:spacing w:before="240" w:after="240"/>
        <w:rPr>
          <w:lang w:val="el" w:eastAsia="el"/>
        </w:rPr>
      </w:pPr>
      <w:r>
        <w:rPr>
          <w:lang w:val="el" w:eastAsia="el"/>
        </w:rPr>
        <w:t>3) Οι ανώτατες τιμές που προβλέπονται στις περ. 1β) και 2 δεν ισχύουν στην περίπτωση κατά την οποία η δειγματοληψία πραγματοποιείται εκτός ιδιωτικών διαγνωστικών εργαστηρίων και ιδιωτικών κλινικών, οπότε η τιμή τους διαμορφώνεται ελεύθερα.</w:t>
      </w:r>
    </w:p>
    <w:p>
      <w:pPr>
        <w:spacing w:before="240" w:after="240"/>
        <w:rPr>
          <w:lang w:val="el" w:eastAsia="el"/>
        </w:rPr>
      </w:pPr>
      <w:r>
        <w:rPr>
          <w:lang w:val="el" w:eastAsia="el"/>
        </w:rPr>
        <w:t>4) Οι επιχειρήσεις που προσφέρουν τις παραπάνω υπηρεσίες και αγαθά, οφείλουν να αναρτήσουν σε εμφανές για το κοινό σημείο και στις ιστοσελίδες τους, τιμοκατάλογο που θα περιλαμβάνει και θα αναφέρει ευκρινώς τις ως άνω προβλεπόμενες ανώτατες τιμές.</w:t>
      </w:r>
    </w:p>
    <w:p>
      <w:pPr>
        <w:spacing w:before="240" w:after="240"/>
        <w:rPr>
          <w:lang w:val="el" w:eastAsia="el"/>
        </w:rPr>
      </w:pPr>
      <w:r>
        <w:rPr>
          <w:lang w:val="el" w:eastAsia="el"/>
        </w:rPr>
        <w:t>5) Σε περίπτωση μη συμμόρφωσης με όσα ορίζονται στις περ. 1 και 2, επιβάλλεται από τα αρμόδια ελεγκτικά όργανα διοικητικό πρόστιμο ύψους πέντε χιλιάδων ευρώ (5.000 €).</w:t>
      </w:r>
    </w:p>
    <w:p>
      <w:pPr>
        <w:spacing w:before="240" w:after="240"/>
        <w:rPr>
          <w:lang w:val="el" w:eastAsia="el"/>
        </w:rPr>
      </w:pPr>
      <w:r>
        <w:rPr>
          <w:lang w:val="el" w:eastAsia="el"/>
        </w:rPr>
        <w:t>6) Σε περίπτωση μη συμμόρφωσης με όσα ορίζονται στην περ. 4, επιβάλλεται από τα αρμόδια ελεγκτικά όργανα διοικητικό πρόστιμο ύψους χιλίων ευρώ (1.000 €).</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Η υπ’ αρ. 130022/07-12-2020 απόφαση του Υπουργού Ανάπτυξης και Επενδύσεων, (Β’ 5387) περί καθορισμού ανώτατων ορίων τιμών πώλησης αγαθών και παροχής υπηρεσιών λόγω της κατάστασης εκτάκτου ανάγκης που προκάλεσε η πανδημία του κορωνοϊού COVID-19, καταργείται.</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Δευτέρα 13.09.2021.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Σεπτεμβρίου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