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«Τροποποίηση της υπό στοιχεία 1002414/204/25/0014 ΠΟΛ 1005/1993 απόφασης Υπουργού Οικονομικών, «Τρόπος καταβολής του φόρου προστιθέμενης αξίας στο δημόσιο από το λήπτη των αγαθών και υπηρεσιών» (Β΄ 52).</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της περ. δ΄ της παρ. 4 του άρθρου 35 του Κώδικα ,” Φόρου Προστιθέμενης Αξίας”(ν. 2859/2000) ( Α΄248) με την οποία εξουσιοδοτείται ο Υπουργός Οικονομικών για την έκδοση απόφασης με την οποία ορίζεται κάθε διαδικαστικό θέμα και λεπτομέρεια για την εφαρμογή του άρθρου αυτού .</w:t>
      </w:r>
    </w:p>
    <w:p>
      <w:pPr>
        <w:pStyle w:val="StructureList1"/>
        <w:spacing w:before="120" w:after="0"/>
        <w:rPr>
          <w:lang w:val="el" w:eastAsia="el"/>
        </w:rPr>
      </w:pPr>
      <w:r>
        <w:rPr>
          <w:lang w:val="el" w:eastAsia="el"/>
        </w:rPr>
        <w:t>β)</w:t>
      </w:r>
      <w:r>
        <w:rPr>
          <w:lang w:val="en" w:eastAsia="en"/>
        </w:rPr>
        <w:tab/>
      </w:r>
      <w:r>
        <w:rPr>
          <w:b/>
          <w:bCs/>
          <w:lang w:val="el" w:eastAsia="el"/>
        </w:rPr>
        <w:t>των παρ. 5 του άρθρου 11, 2 του άρθρου 14, 1, 2 ,4 και 8 του άρθρου 38 , 1 και 3 του άρθρου 35 και 3 του άρθρου 64 του Κώδικα ”Φόρου Προστιθέμενης Αξίας” (ν.2859/2000) (Α΄248), όπως ισχύουν.</w:t>
      </w:r>
    </w:p>
    <w:p>
      <w:pPr>
        <w:pStyle w:val="PreambelText"/>
        <w:spacing w:before="240" w:after="240"/>
        <w:rPr>
          <w:lang w:val="el" w:eastAsia="el"/>
        </w:rPr>
      </w:pPr>
      <w:r>
        <w:rPr>
          <w:lang w:val="el" w:eastAsia="el"/>
        </w:rPr>
        <w:t xml:space="preserve">2. </w:t>
      </w:r>
      <w:r>
        <w:rPr>
          <w:b/>
          <w:bCs/>
          <w:lang w:val="el" w:eastAsia="el"/>
        </w:rPr>
        <w:t>Την υπό στοιχεία 1002414/204/25/0014 ΠΟΛ 1005/1993 απόφαση του Υπουργού Οικονομικών, «Τρόπος καταβολής του φόρου προστιθέμενης αξίας στο δημόσιο από το λήπτη των αγαθών και υπηρεσιών» (Β΄ 52).</w:t>
      </w:r>
    </w:p>
    <w:p>
      <w:pPr>
        <w:pStyle w:val="PreambelText"/>
        <w:spacing w:before="240" w:after="240"/>
        <w:rPr>
          <w:lang w:val="el" w:eastAsia="el"/>
        </w:rPr>
      </w:pPr>
      <w:r>
        <w:rPr>
          <w:lang w:val="el" w:eastAsia="el"/>
        </w:rPr>
        <w:t xml:space="preserve">3. </w:t>
      </w:r>
      <w:r>
        <w:rPr>
          <w:b/>
          <w:bCs/>
          <w:lang w:val="el" w:eastAsia="el"/>
        </w:rPr>
        <w:t>Την υπό στοιχεία 1042666/3595/Α0014/ΠΟΛ 1115/1993 απόφαση Υπουργού Οικονομικών, «Τρόπος καταβολής του φόρου προστιθέμενης αξίας στο δημόσιο από το λήπτη των αγαθών και υπηρεσιών» (Β΄ 252).</w:t>
      </w:r>
    </w:p>
    <w:p>
      <w:pPr>
        <w:pStyle w:val="PreambelText"/>
        <w:spacing w:before="240" w:after="240"/>
        <w:rPr>
          <w:lang w:val="el" w:eastAsia="el"/>
        </w:rPr>
      </w:pPr>
      <w:r>
        <w:rPr>
          <w:lang w:val="el" w:eastAsia="el"/>
        </w:rPr>
        <w:t xml:space="preserve">4. </w:t>
      </w:r>
      <w:r>
        <w:rPr>
          <w:b/>
          <w:bCs/>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ιδίως τα άρθρα 1, 2, 13, 14, 17 και 41.</w:t>
      </w:r>
    </w:p>
    <w:p>
      <w:pPr>
        <w:pStyle w:val="PreambelText"/>
        <w:spacing w:before="240" w:after="240"/>
        <w:rPr>
          <w:lang w:val="el" w:eastAsia="el"/>
        </w:rPr>
      </w:pPr>
      <w:r>
        <w:rPr>
          <w:lang w:val="el" w:eastAsia="el"/>
        </w:rPr>
        <w:t xml:space="preserve">5.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την υποπαρ. α΄ της παρ. 3 του άρθρου 41 του ν. 4389/2016.</w:t>
      </w:r>
    </w:p>
    <w:p>
      <w:pPr>
        <w:pStyle w:val="PreambelText"/>
        <w:spacing w:before="240" w:after="240"/>
        <w:rPr>
          <w:lang w:val="el" w:eastAsia="el"/>
        </w:rPr>
      </w:pPr>
      <w:r>
        <w:rPr>
          <w:lang w:val="el" w:eastAsia="el"/>
        </w:rPr>
        <w:t xml:space="preserve">6. </w:t>
      </w:r>
      <w:r>
        <w:rPr>
          <w:b/>
          <w:bCs/>
          <w:lang w:val="el" w:eastAsia="el"/>
        </w:rPr>
        <w:t>Την υποπαρ. Ε2 της παρ. Ε του πρώτου άρθρου του ν. 4093/2012 όπως ισχύει, περί σύστασης θέσης Γενικού Γραμματέα Δημοσίων Εσόδων, σε συνδυασμό με την παρ. 1 του άρθρου 13 και την παρ. 10 του άρθρου 41 του ν. 4389/2016, όπως ισχύουν (Α΄ 222).</w:t>
      </w:r>
    </w:p>
    <w:p>
      <w:pPr>
        <w:pStyle w:val="PreambelText"/>
        <w:spacing w:before="240" w:after="240"/>
        <w:rPr>
          <w:lang w:val="el" w:eastAsia="el"/>
        </w:rPr>
      </w:pPr>
      <w:r>
        <w:rPr>
          <w:lang w:val="el" w:eastAsia="el"/>
        </w:rPr>
        <w:t xml:space="preserve">7.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όπως ισχύουν, και την υπό στοιχεία 5294/ΕΞ 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8. </w:t>
      </w:r>
      <w:r>
        <w:rPr>
          <w:b/>
          <w:bCs/>
          <w:lang w:val="el" w:eastAsia="el"/>
        </w:rPr>
        <w:t>Την υπό στοιχεία Δ.ΟΡΓ.Α 1125859 ΕΞ 2020 /23.10.2020) απόφαση του Διοικητή της Α.Α.Δ.Ε. «Οργανισμός της Ανεξάρτητης Αρχής Δημοσίων Εσόδων (Α.Α.Δ.Ε.) » (Β 4738).</w:t>
      </w:r>
    </w:p>
    <w:p>
      <w:pPr>
        <w:pStyle w:val="PreambelText"/>
        <w:spacing w:before="240" w:after="240"/>
        <w:rPr>
          <w:lang w:val="el" w:eastAsia="el"/>
        </w:rPr>
      </w:pPr>
      <w:r>
        <w:rPr>
          <w:lang w:val="el" w:eastAsia="el"/>
        </w:rPr>
        <w:t xml:space="preserve">9. </w:t>
      </w:r>
      <w:r>
        <w:rPr>
          <w:b/>
          <w:bCs/>
          <w:lang w:val="el" w:eastAsia="el"/>
        </w:rPr>
        <w:t>Το γεγονός ότι, από 1.1.2014, έχει τεθεί σε ισχύ η αποσυσχέτιση της υποβολής της δήλωσης Φ.Π.Α. με την καταβολή του οφειλόμενου φόρου, βάσει της οποίας (αποσυσχέτισης) είναι δυνατή πλέον η υποβολή της δήλωσης , ανεξαρτήτως της καταβολής του οφειλόμενου φόρου.</w:t>
      </w:r>
    </w:p>
    <w:p>
      <w:pPr>
        <w:pStyle w:val="PreambelText"/>
        <w:spacing w:before="240" w:after="240"/>
        <w:rPr>
          <w:lang w:val="el" w:eastAsia="el"/>
        </w:rPr>
      </w:pPr>
      <w:r>
        <w:rPr>
          <w:lang w:val="el" w:eastAsia="el"/>
        </w:rPr>
        <w:t xml:space="preserve">10. </w:t>
      </w:r>
      <w:r>
        <w:rPr>
          <w:b/>
          <w:bCs/>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Καταργούνται το άρθρο 4 της υπό στοιχεία 1002414/204/25/0014 ΠΟΛ 1005/1993 απόφασης Υπουργού Οικονομικών, «Τρόπος καταβολής του φόρου προστιθέμενης αξίας στο δημόσιο από το λήπτη των αγαθών και υπηρεσιών», και οι με το άρθρο αυτό θεσπισθείσες υποχρεώσεις εμπορικών τραπεζών για την έγκριση συναλλάγματος.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αριθμ. 1 και 2.</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αριθμ. 1 και 2.</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b/>
          <w:bCs/>
          <w:lang w:val="el" w:eastAsia="el"/>
        </w:rPr>
        <w:t>» » Ζ΄.</w:t>
      </w:r>
    </w:p>
    <w:p>
      <w:pPr>
        <w:spacing w:before="240" w:after="240"/>
        <w:rPr>
          <w:lang w:val="el" w:eastAsia="el"/>
        </w:rPr>
      </w:pPr>
      <w:r>
        <w:rPr>
          <w:b/>
          <w:bCs/>
          <w:lang w:val="el" w:eastAsia="el"/>
        </w:rPr>
        <w:t>» » Η΄.</w:t>
      </w:r>
    </w:p>
    <w:p>
      <w:pPr>
        <w:spacing w:before="240" w:after="240"/>
        <w:rPr>
          <w:lang w:val="el" w:eastAsia="el"/>
        </w:rPr>
      </w:pPr>
      <w:r>
        <w:rPr>
          <w:b/>
          <w:bCs/>
          <w:lang w:val="el" w:eastAsia="el"/>
        </w:rPr>
        <w:t>» » Θ 10,17 και 18.</w:t>
      </w:r>
    </w:p>
    <w:p>
      <w:pPr>
        <w:spacing w:before="240" w:after="240"/>
        <w:rPr>
          <w:lang w:val="el" w:eastAsia="el"/>
        </w:rPr>
      </w:pPr>
      <w:r>
        <w:rPr>
          <w:b/>
          <w:bCs/>
          <w:lang w:val="el" w:eastAsia="el"/>
        </w:rPr>
        <w:t>» » Ι΄.</w:t>
      </w:r>
    </w:p>
    <w:p>
      <w:pPr>
        <w:spacing w:before="240" w:after="240"/>
        <w:rPr>
          <w:lang w:val="el" w:eastAsia="el"/>
        </w:rPr>
      </w:pPr>
      <w:r>
        <w:rPr>
          <w:b/>
          <w:bCs/>
          <w:lang w:val="el" w:eastAsia="el"/>
        </w:rPr>
        <w:t>» » ΙΒ΄.</w:t>
      </w:r>
    </w:p>
    <w:p>
      <w:pPr>
        <w:spacing w:before="240" w:after="240"/>
        <w:rPr>
          <w:lang w:val="el" w:eastAsia="el"/>
        </w:rPr>
      </w:pPr>
      <w:r>
        <w:rPr>
          <w:b/>
          <w:bCs/>
          <w:lang w:val="el" w:eastAsia="el"/>
        </w:rPr>
        <w:t>» » ΙΣΤ΄</w:t>
      </w:r>
    </w:p>
    <w:p>
      <w:pPr>
        <w:spacing w:before="240" w:after="240"/>
        <w:rPr>
          <w:lang w:val="el" w:eastAsia="el"/>
        </w:rPr>
      </w:pPr>
      <w:r>
        <w:rPr>
          <w:lang w:val="el" w:eastAsia="el"/>
        </w:rPr>
        <w:t xml:space="preserve">11. </w:t>
      </w:r>
      <w:r>
        <w:rPr>
          <w:b/>
          <w:bCs/>
          <w:lang w:val="el" w:eastAsia="el"/>
        </w:rPr>
        <w:t>Γραφείο Υπουργού Οικονομικών κ. Χ. Σταικούρα</w:t>
      </w:r>
    </w:p>
    <w:p>
      <w:pPr>
        <w:spacing w:before="240" w:after="240"/>
        <w:rPr>
          <w:lang w:val="el" w:eastAsia="el"/>
        </w:rPr>
      </w:pPr>
      <w:r>
        <w:rPr>
          <w:lang w:val="el" w:eastAsia="el"/>
        </w:rPr>
        <w:t xml:space="preserve">12.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13. </w:t>
      </w:r>
      <w:r>
        <w:rPr>
          <w:b/>
          <w:bCs/>
          <w:lang w:val="el" w:eastAsia="el"/>
        </w:rPr>
        <w:t>Γραφείο Γεν. Γραμματέως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