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ΦΒ7/121875/Κ3</w:t>
      </w:r>
    </w:p>
    <w:p>
      <w:pPr>
        <w:pStyle w:val="PreambelText"/>
        <w:spacing w:before="240" w:after="240"/>
        <w:rPr>
          <w:lang w:val="el" w:eastAsia="el"/>
        </w:rPr>
      </w:pPr>
      <w:r>
        <w:rPr>
          <w:b/>
          <w:bCs/>
          <w:lang w:val="el" w:eastAsia="el"/>
        </w:rPr>
        <w:t>Επιδότηση Μαθητευόμενων Μεταλυκειακού Έτους - Τάξη Μαθητείας.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ΠΑΙΔΕΙΑΣ ΚΑΙ ΘΡΗΣΚΕΥΜΑΤΩΝ -</w:t>
      </w:r>
    </w:p>
    <w:p>
      <w:pPr>
        <w:pStyle w:val="PreambelText"/>
        <w:spacing w:before="240" w:after="240"/>
        <w:rPr>
          <w:lang w:val="el" w:eastAsia="el"/>
        </w:rPr>
      </w:pPr>
      <w:r>
        <w:rPr>
          <w:b/>
          <w:bCs/>
          <w:lang w:val="el" w:eastAsia="el"/>
        </w:rPr>
        <w:t>ΕΡΓΑΣΙΑΣ ΚΑΙ ΚΟΙΝΩΝΙΚΩΝ ΥΠΟΘΕΣΕΩΝ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3 του άρθρου 40 καθώς και των άρθρων 35 έως 39 του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StructureList1"/>
        <w:spacing w:before="120" w:after="0"/>
        <w:rPr>
          <w:lang w:val="el" w:eastAsia="el"/>
        </w:rPr>
      </w:pPr>
      <w:r>
        <w:rPr>
          <w:lang w:val="el" w:eastAsia="el"/>
        </w:rPr>
        <w:t>β)</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και ειδικότερα το κεφάλαιο Δ’ «Γενικοί και Ειδικοί Γραμματείς» (Α’ 133),</w:t>
      </w:r>
    </w:p>
    <w:p>
      <w:pPr>
        <w:pStyle w:val="StructureList1"/>
        <w:spacing w:before="120" w:after="0"/>
        <w:rPr>
          <w:lang w:val="el" w:eastAsia="el"/>
        </w:rPr>
      </w:pPr>
      <w:r>
        <w:rPr>
          <w:lang w:val="el" w:eastAsia="el"/>
        </w:rPr>
        <w:t>γ)</w:t>
      </w:r>
      <w:r>
        <w:rPr>
          <w:lang w:val="en" w:eastAsia="en"/>
        </w:rPr>
        <w:tab/>
      </w:r>
      <w:r>
        <w:rPr>
          <w:lang w:val="el" w:eastAsia="el"/>
        </w:rPr>
        <w:t>του ν. 4331/2015 και ιδίως του άρθρου 13 «Μέτρα για την ανακούφιση των Ατόμων με Αναπηρία (ΑμεΑ), την απλοποίηση της λειτουργίας των Κέντρων Πιστοποίησης Αναπηρίας (Κ.Ε.Π.Α.), καταπολέμηση της εισφοροδιαφυγής και συναφή ασφαλιστικά ζητήματα και άλλες διατάξεις» (Α’ 69),</w:t>
      </w:r>
    </w:p>
    <w:p>
      <w:pPr>
        <w:pStyle w:val="StructureList1"/>
        <w:spacing w:before="120" w:after="0"/>
        <w:rPr>
          <w:lang w:val="el" w:eastAsia="el"/>
        </w:rPr>
      </w:pPr>
      <w:r>
        <w:rPr>
          <w:lang w:val="el" w:eastAsia="el"/>
        </w:rPr>
        <w:t>δ)</w:t>
      </w:r>
      <w:r>
        <w:rPr>
          <w:lang w:val="en" w:eastAsia="en"/>
        </w:rPr>
        <w:tab/>
      </w:r>
      <w:r>
        <w:rPr>
          <w:lang w:val="el" w:eastAsia="el"/>
        </w:rPr>
        <w:t>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της παρ. 4 του άρθρου 28, σε συνδυασμό με το άρθρο 20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ν. 3699/2008 «Ειδική Αγωγή και Εκπαίδευση ατόμων με αναπηρία ή με ειδικές εκπαιδευτικές ανάγκες» (Α’ 199) και ιδίως του άρθρου 8 αυτού</w:t>
      </w:r>
    </w:p>
    <w:p>
      <w:pPr>
        <w:pStyle w:val="StructureList1"/>
        <w:spacing w:before="120" w:after="0"/>
        <w:rPr>
          <w:lang w:val="el" w:eastAsia="el"/>
        </w:rPr>
      </w:pPr>
      <w:r>
        <w:rPr>
          <w:lang w:val="el" w:eastAsia="el"/>
        </w:rPr>
        <w:t>στ)</w:t>
      </w:r>
      <w:r>
        <w:rPr>
          <w:lang w:val="en" w:eastAsia="en"/>
        </w:rPr>
        <w:tab/>
      </w:r>
      <w:r>
        <w:rPr>
          <w:lang w:val="el" w:eastAsia="el"/>
        </w:rPr>
        <w:t>της παρ. 2 του άρθρου 5 και της περιπ. δ’ της παρ. 6 του άρθρου 7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π.δ. 121/2017 «Οργανισμός Υπουργείου Υγείας» (Α’ 148),</w:t>
      </w:r>
    </w:p>
    <w:p>
      <w:pPr>
        <w:pStyle w:val="StructureList1"/>
        <w:spacing w:before="120" w:after="0"/>
        <w:rPr>
          <w:lang w:val="el" w:eastAsia="el"/>
        </w:rPr>
      </w:pPr>
      <w:r>
        <w:rPr>
          <w:lang w:val="el" w:eastAsia="el"/>
        </w:rPr>
        <w:t>θ)</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π.δ. 147/2017 «Οργανισμός Υπουργείου Οικονομίας και Ανάπτυξης» (Α’ 192),</w:t>
      </w:r>
    </w:p>
    <w:p>
      <w:pPr>
        <w:pStyle w:val="StructureList1"/>
        <w:spacing w:before="120" w:after="0"/>
        <w:rPr>
          <w:lang w:val="el" w:eastAsia="el"/>
        </w:rPr>
      </w:pPr>
      <w:r>
        <w:rPr>
          <w:lang w:val="el" w:eastAsia="el"/>
        </w:rPr>
        <w:t>ιβ)</w:t>
      </w:r>
      <w:r>
        <w:rPr>
          <w:lang w:val="en" w:eastAsia="en"/>
        </w:rPr>
        <w:tab/>
      </w:r>
      <w:r>
        <w:rPr>
          <w:lang w:val="el" w:eastAsia="el"/>
        </w:rPr>
        <w:t>του π.δ. 18/2018 «Οργανισμός Υπουργείου Παιδείας, Έρευνας και Θρησκευμάτων» (Α’ 31),</w:t>
      </w:r>
    </w:p>
    <w:p>
      <w:pPr>
        <w:pStyle w:val="StructureList1"/>
        <w:spacing w:before="120" w:after="0"/>
        <w:rPr>
          <w:lang w:val="el" w:eastAsia="el"/>
        </w:rPr>
      </w:pPr>
      <w:r>
        <w:rPr>
          <w:lang w:val="el" w:eastAsia="el"/>
        </w:rPr>
        <w:t>ιγ)</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ιδ)</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ιε)</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ιστ)</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ιζ)</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ιη)</w:t>
      </w:r>
      <w:r>
        <w:rPr>
          <w:lang w:val="en" w:eastAsia="en"/>
        </w:rPr>
        <w:tab/>
      </w:r>
      <w:r>
        <w:rPr>
          <w:lang w:val="el" w:eastAsia="el"/>
        </w:rPr>
        <w:t>του π.δ. 68/2021 «Διορισμός Υπουργών, Αναπληρώτριας Υπουργού και Υφυπουργών» (Α’ 155),</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 αρ. 51875/07.5.2021 απόφαση του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4. την Σύσταση του Συμβουλίου της Ευρωπαϊκής Ένωσης της 15ης Μαρτίου 2018 σχετικά με ένα Ευρωπαϊκό Πλαίσιο για ποιοτικά και αποτελεσματικά προγράμματα μαθητείας υπό στοιχεία (2018/C 153/01),</w:t>
      </w:r>
    </w:p>
    <w:p>
      <w:pPr>
        <w:pStyle w:val="PreambelText"/>
        <w:spacing w:before="240" w:after="240"/>
        <w:rPr>
          <w:lang w:val="el" w:eastAsia="el"/>
        </w:rPr>
      </w:pPr>
      <w:r>
        <w:rPr>
          <w:lang w:val="el" w:eastAsia="el"/>
        </w:rPr>
        <w:t>5. την υπ’ αρ. 329/10.2.2005 κοινή απόφαση των Υπουργών Οικονομίας και Οικονομικών και Εθνικής Παιδείας και Θρησκευμάτων «Τροποποίηση και αντικατάσταση της υπ’ αρ. ΚΑ/845/25.8.2003 απόφασης (Β’ 1222) «Σύσταση Ειδικού Λογαριασμού στο Υπουργείο Εθνικής Παιδείας και Θρησκευμάτων» (Β’ 210),</w:t>
      </w:r>
    </w:p>
    <w:p>
      <w:pPr>
        <w:pStyle w:val="PreambelText"/>
        <w:spacing w:before="240" w:after="240"/>
        <w:rPr>
          <w:lang w:val="el" w:eastAsia="el"/>
        </w:rPr>
      </w:pPr>
      <w:r>
        <w:rPr>
          <w:lang w:val="el" w:eastAsia="el"/>
        </w:rPr>
        <w:t>6. την υπό στοιχεία 40331/Δ1.13521/13.9.2019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(Β’ 3520),</w:t>
      </w:r>
    </w:p>
    <w:p>
      <w:pPr>
        <w:pStyle w:val="PreambelText"/>
        <w:spacing w:before="240" w:after="240"/>
        <w:rPr>
          <w:lang w:val="el" w:eastAsia="el"/>
        </w:rPr>
      </w:pPr>
      <w:r>
        <w:rPr>
          <w:lang w:val="el" w:eastAsia="el"/>
        </w:rPr>
        <w:t>7. την υπό στοιχεία οικ. 4241/127/30.1.2019 απόφαση της Υπουργού Εργασίας, Κοινωνικής Ασφάλισης και Κοινωνικής Αλληλεγγύης «Καθορισμός κατώτατου μισθού και κατώτατου ημερομισθίου για τους υπαλλήλους και τους εργατοτεχνίτες όλης της χώρας» (Β’ 173),</w:t>
      </w:r>
    </w:p>
    <w:p>
      <w:pPr>
        <w:pStyle w:val="PreambelText"/>
        <w:spacing w:before="240" w:after="240"/>
        <w:rPr>
          <w:lang w:val="el" w:eastAsia="el"/>
        </w:rPr>
      </w:pPr>
      <w:r>
        <w:rPr>
          <w:lang w:val="el" w:eastAsia="el"/>
        </w:rPr>
        <w:t>8. του υπό στοιχεία Φ.40021/οικ.18530/1001/30.3.2018 εγγράφου της Διεύθυνσης Ειδικότερων Θεμάτων Ασφάλισης και Παροχών με θέμα: «Γνωστοποίηση των διατάξεων των άρθρων 22 και 23 του ν. 4529/2018 (Α’ 56) σχετικά με την υπαγωγή στην ασφάλιση για υγειονομική περίθαλψη και Χορήγηση ασφαλιστικής κάλυψης στους μισθωτούς και μη μισθωτούς ασφαλισμένους του Ε.Φ.Κ.Α. και στους ανέργους»,</w:t>
      </w:r>
    </w:p>
    <w:p>
      <w:pPr>
        <w:pStyle w:val="PreambelText"/>
        <w:spacing w:before="240" w:after="240"/>
        <w:rPr>
          <w:lang w:val="el" w:eastAsia="el"/>
        </w:rPr>
      </w:pPr>
      <w:r>
        <w:rPr>
          <w:lang w:val="el" w:eastAsia="el"/>
        </w:rPr>
        <w:t>9. την υπό στοιχεία Φ.1/Γ/412/77596/Β1 Εισήγηση του Προϊσταμένου της Γενικής Διεύθυνσης Οικονομικών Υπηρεσιών του Υπουργείου Παιδείας και Θρησκευμάτων,</w:t>
      </w:r>
    </w:p>
    <w:p>
      <w:pPr>
        <w:pStyle w:val="PreambelText"/>
        <w:spacing w:before="240" w:after="240"/>
        <w:rPr>
          <w:lang w:val="el" w:eastAsia="el"/>
        </w:rPr>
      </w:pPr>
      <w:r>
        <w:rPr>
          <w:lang w:val="el" w:eastAsia="el"/>
        </w:rPr>
        <w:t>10. το γεγονός ότι από τις διατάξεις της παρούσας απόφασης προκαλείται δαπάνη που αφορά στην επιδότηση των μαθητευομένων η οποία θα καλυφθεί από σχετική πράξη με χρηματοδότηση μέσω του Επιχειρησιακού προγράμματος «Ανάπτυξη Ανθρώπινου Δυναμικού, Εκπαίδευση και Δια Βίου Μάθηση» της Προγραμματικής Περιόδου ΕΣΠΑ 2014-2020, στο πλαίσιο της πρόσκλησης για υποβολή προτάσεων με τίτλο «Μαθητεία ΕΠΑΛ και ΙΕΚ (έτη 2021-2022, 2022-2023)»,{ κωδικός ΕΔΒΜ176 (ΑΔΑ: Ρ61646ΜΤΛΡ- ΟΡΒ)}, συνολικής διατιθέμενης συγχρηματοδοτούμενης δημόσιας δαπάνης ύψους 39.430.384,00 €»,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Αποζημίωση μαθητευόμενων/Ασφαλιστική κάλυψη του Μεταλυκειακού Έτους -</w:t>
      </w:r>
    </w:p>
    <w:p>
      <w:pPr>
        <w:spacing w:before="240" w:after="240"/>
        <w:rPr>
          <w:lang w:val="el" w:eastAsia="el"/>
        </w:rPr>
      </w:pPr>
      <w:r>
        <w:rPr>
          <w:lang w:val="el" w:eastAsia="el"/>
        </w:rPr>
        <w:t>Τάξη Μαθητείας</w:t>
      </w:r>
    </w:p>
    <w:p>
      <w:pPr>
        <w:pStyle w:val="MainText"/>
        <w:spacing w:before="120" w:after="0"/>
        <w:rPr>
          <w:lang w:val="el" w:eastAsia="el"/>
        </w:rPr>
      </w:pPr>
      <w:r>
        <w:rPr>
          <w:b/>
          <w:bCs/>
          <w:lang w:val="el" w:eastAsia="el"/>
        </w:rPr>
        <w:t>1.</w:t>
      </w:r>
      <w:r>
        <w:rPr>
          <w:lang w:val="el" w:eastAsia="el"/>
        </w:rPr>
        <w:t xml:space="preserve"> Το «Μεταλυκειακό Έτος - Τάξη Μαθητείας» συγχρηματοδοτείται από την Ελλάδα και την Ευρωπαϊκή Ένωση, στο πλαίσιο του Επιχειρησιακού Προγράμματος «Ανάπτυξη Ανθρώπινου Δυναμικού, Εκπαίδευση και Δια Βίου Μάθηση» του ΕΣΠΑ 2014-2020.</w:t>
      </w:r>
    </w:p>
    <w:p>
      <w:pPr>
        <w:pStyle w:val="MainText"/>
        <w:spacing w:before="120" w:after="0"/>
        <w:rPr>
          <w:lang w:val="el" w:eastAsia="el"/>
        </w:rPr>
      </w:pPr>
      <w:r>
        <w:rPr>
          <w:b/>
          <w:bCs/>
          <w:lang w:val="el" w:eastAsia="el"/>
        </w:rPr>
        <w:t>2.</w:t>
      </w:r>
      <w:r>
        <w:rPr>
          <w:lang w:val="el" w:eastAsia="el"/>
        </w:rPr>
        <w:t xml:space="preserve"> Το ποσοστό αποζημίωσης των μαθητευόμενων του «Μεταλυκειακού Έτους - Τάξη Μαθητείας» ορίζεται στο ενενήντα πέντε τοις εκατό (95%) επί του νόμιμου, νομοθετημένου, κατώτατου ορίου του ημερομισθίου του ανειδίκευτου εργάτη, ήτοι 27,59€ για τους μαθητευόμενους ή, όπως αυτό διαμορφώνεται από το αρμόδιο Υπουργείο. Η αποζημίωση επιδοτείται από το Υ.ΠΑΙ.Θ. μέσω της Επιτελικής Δομής ΕΣΠΑ και καταβάλλεται από τον Ειδικό Λογαριασμό στους μαθητευόμενους ενώ οι νόμιμες ασφαλιστικές εισφορές καταβάλλονται μηνιαίως από τον εργοδότη, στον οποίο πραγματοποιείται το «Πρόγραμμα μάθησης σε εργασιακό χώρο» του «Μεταλυκειακού Έτους - Τάξη Μαθητείας». Για τα θέματα της αποζημίωσης/ασφαλιστικής κάλυψης των μαθητευομένων τηρούνται τα παρακάτω:</w:t>
      </w:r>
    </w:p>
    <w:p>
      <w:pPr>
        <w:pStyle w:val="StructureList1"/>
        <w:spacing w:before="120" w:after="0"/>
        <w:rPr>
          <w:lang w:val="el" w:eastAsia="el"/>
        </w:rPr>
      </w:pPr>
      <w:r>
        <w:rPr>
          <w:lang w:val="el" w:eastAsia="el"/>
        </w:rPr>
        <w:t>α)</w:t>
      </w:r>
      <w:r>
        <w:rPr>
          <w:lang w:val="en" w:eastAsia="en"/>
        </w:rPr>
        <w:tab/>
      </w:r>
      <w:r>
        <w:rPr>
          <w:lang w:val="el" w:eastAsia="el"/>
        </w:rPr>
        <w:t>Για την καταβολή της επιδότησης από το Υ.ΠΑΙ.Θ. τηρούνται πρότυπα έντυπα σύμφωνα με τον Οδηγό Υλοποίησης και Εφαρμογής της συγχρηματοδοτούμενης Πράξης και τις εγκυκλίους των αρμόδιων Υπηρεσιών του Υ.ΠΑΙ.Θ. τόσο στην εκπαιδευτική μονάδα όσο και στον εργοδότη.</w:t>
      </w:r>
    </w:p>
    <w:p>
      <w:pPr>
        <w:pStyle w:val="StructureList1"/>
        <w:spacing w:before="120" w:after="0"/>
        <w:rPr>
          <w:lang w:val="el" w:eastAsia="el"/>
        </w:rPr>
      </w:pPr>
      <w:r>
        <w:rPr>
          <w:lang w:val="el" w:eastAsia="el"/>
        </w:rPr>
        <w:t>β)</w:t>
      </w:r>
      <w:r>
        <w:rPr>
          <w:lang w:val="en" w:eastAsia="en"/>
        </w:rPr>
        <w:tab/>
      </w:r>
      <w:r>
        <w:rPr>
          <w:lang w:val="el" w:eastAsia="el"/>
        </w:rPr>
        <w:t>Το ποσό της επιδότησης του Υ.ΠΑΙ.Θ. ορίζεται στα 27,14 € για κάθε ημέρα του «Προγράμματος μάθησης σε εργασιακό χώρο» ή, όπως αυτό διαμορφώνεται από το αρμόδιο Υπουργείο.</w:t>
      </w:r>
    </w:p>
    <w:p>
      <w:pPr>
        <w:pStyle w:val="StructureList1"/>
        <w:spacing w:before="120" w:after="0"/>
        <w:rPr>
          <w:lang w:val="el" w:eastAsia="el"/>
        </w:rPr>
      </w:pPr>
      <w:r>
        <w:rPr>
          <w:lang w:val="el" w:eastAsia="el"/>
        </w:rPr>
        <w:t>γ)</w:t>
      </w:r>
      <w:r>
        <w:rPr>
          <w:lang w:val="en" w:eastAsia="en"/>
        </w:rPr>
        <w:tab/>
      </w:r>
      <w:r>
        <w:rPr>
          <w:lang w:val="el" w:eastAsia="el"/>
        </w:rPr>
        <w:t>Κάθε εργοδότης (του Ιδιωτικού και του Δημοσίου Τομέα) οφείλει να καταχωρίζει στο Πληροφοριακό Σύστημα «ΕΡΓΑΝΗ» του Υπουργείου Εργασίας και Κοινωνικών Υποθέσεων το έντυπο «Ε3.4 Αναγγελία Έναρξης/Μεταβολών Σύμβασης Μαθητείας», σύμφωνα με τις ισχύουσες διατάξεις του αρμόδιου Υπουργείου, την έναρξη του «Προγράμματος μάθησης σε εργασιακό χώρο» και τη διακοπή αυτού, όπου απαιτείται, για κάθε μαθητευόμενο που απασχολεί. Οι εργοδότες του Δημοσίου υποχρεούνται επιπλέον να καταχωρίζουν το απογραφικό δελτίο κάθε μαθητευόμενου στο Μητρώο Ανθρώπινου Δυναμικού Ελληνικού Δημοσίου σύμφωνα με τις ισχύουσες διατάξεις. Τα ανωτέρω έγγραφα τηρούνται στο αρχείο του εργοδότη και του ΕΠΑ.Λ.</w:t>
      </w:r>
    </w:p>
    <w:p>
      <w:pPr>
        <w:pStyle w:val="StructureList1"/>
        <w:spacing w:before="120" w:after="0"/>
        <w:rPr>
          <w:lang w:val="el" w:eastAsia="el"/>
        </w:rPr>
      </w:pPr>
      <w:r>
        <w:rPr>
          <w:lang w:val="el" w:eastAsia="el"/>
        </w:rPr>
        <w:t>δ)</w:t>
      </w:r>
      <w:r>
        <w:rPr>
          <w:lang w:val="en" w:eastAsia="en"/>
        </w:rPr>
        <w:tab/>
      </w:r>
      <w:r>
        <w:rPr>
          <w:lang w:val="el" w:eastAsia="el"/>
        </w:rPr>
        <w:t xml:space="preserve">Τα θέματα ασφάλισης και ασφαλιστικών εισφορών ρυθμίζονται με Εγκύκλιο του e-ΕΦΚΑ. </w:t>
      </w:r>
    </w:p>
    <w:p>
      <w:pPr>
        <w:spacing w:before="240" w:after="240"/>
        <w:rPr>
          <w:lang w:val="el" w:eastAsia="el"/>
        </w:rPr>
      </w:pPr>
      <w:r>
        <w:rPr>
          <w:lang w:val="el" w:eastAsia="el"/>
        </w:rPr>
        <w:t>Οι μαθητευόμενοι κατά το διάστημα του «Προγράμματος μάθησης σε εργασιακό χώρο», υπάγονται στην ασφάλιση τόσο του κλάδου παροχών ασθένειας σε είδος, όσο και του κλάδου παροχών ασθένειας σε χρήμα, ο δε χρόνος ασφάλισής τους είναι συντάξιμος, διότι καταβάλλονται εισφορέςγια τους αντίστοιχους κλάδους κύριας και επικουρικής σύνταξης.</w:t>
      </w:r>
    </w:p>
    <w:p>
      <w:pPr>
        <w:pStyle w:val="StructureList1"/>
        <w:spacing w:before="120" w:after="0"/>
        <w:rPr>
          <w:lang w:val="el" w:eastAsia="el"/>
        </w:rPr>
      </w:pPr>
      <w:r>
        <w:rPr>
          <w:lang w:val="el" w:eastAsia="el"/>
        </w:rPr>
        <w:t>ε)</w:t>
      </w:r>
      <w:r>
        <w:rPr>
          <w:lang w:val="en" w:eastAsia="en"/>
        </w:rPr>
        <w:tab/>
      </w:r>
      <w:r>
        <w:rPr>
          <w:lang w:val="el" w:eastAsia="el"/>
        </w:rPr>
        <w:t>Η καταβολή των ασφαλιστικών εισφορών από τον εργοδότη ελέγχεται σύμφωνα με τις ισχύουσες προθεσμίες από τους αρμόδιους φορείς.</w:t>
      </w:r>
    </w:p>
    <w:p>
      <w:pPr>
        <w:pStyle w:val="StructureList1"/>
        <w:spacing w:before="120" w:after="0"/>
        <w:rPr>
          <w:lang w:val="el" w:eastAsia="el"/>
        </w:rPr>
      </w:pPr>
      <w:r>
        <w:rPr>
          <w:lang w:val="el" w:eastAsia="el"/>
        </w:rPr>
        <w:t>στ)</w:t>
      </w:r>
      <w:r>
        <w:rPr>
          <w:lang w:val="en" w:eastAsia="en"/>
        </w:rPr>
        <w:tab/>
      </w:r>
      <w:r>
        <w:rPr>
          <w:lang w:val="el" w:eastAsia="el"/>
        </w:rPr>
        <w:t>Η επιδότηση δεν καταβάλλεται από το Υ.ΠΑΙ.Θ. για τις ημέρες της κανονικής άδειας ή ασθένειας ή απουσίας, όπως αυτές καθορίζονται από τον κανονισμό λειτουργίας του «Μεταλυκειακού έτους - Τάξη μαθητείας». Το Υ.ΠΑΙ.Θ. δεν επιβαρύνεται με την καταβολή λοιπών επιδομάτων, όπου αυτά εξακολουθούν να ισχύουν. Στις περιπτώσεις κανονικής άδειας οι εργοδότες υποχρεούνται να καταβάλουν ολόκληρο το προβλεπόμενο ημερομίσθιο στους μαθητευόμενους για τις ημέρες που αναλογούν στη διάρκεια του προγράμματος μαθητείας σε εργασιακό χώρο μέχρι τη διακοπή ή λήξη της σύμβασης, σύμφωνα με τις διατάξεις του ν. 1346/1983. Στις περιπτώσεις απουσίας λόγω ασθένειας εφαρμόζονται οι διατάξεις των άρθρων 657-658 του Α.Κ. Στις περιπτώσεις απουσίας ο εργοδότης δεν καταβάλλει αποζημίωση και ασφαλιστικές εισφορές.</w:t>
      </w:r>
    </w:p>
    <w:p>
      <w:pPr>
        <w:pStyle w:val="StructureList1"/>
        <w:spacing w:before="120" w:after="0"/>
        <w:rPr>
          <w:lang w:val="el" w:eastAsia="el"/>
        </w:rPr>
      </w:pPr>
      <w:r>
        <w:rPr>
          <w:lang w:val="el" w:eastAsia="el"/>
        </w:rPr>
        <w:t>ζ)</w:t>
      </w:r>
      <w:r>
        <w:rPr>
          <w:lang w:val="en" w:eastAsia="en"/>
        </w:rPr>
        <w:tab/>
      </w:r>
      <w:r>
        <w:rPr>
          <w:lang w:val="el" w:eastAsia="el"/>
        </w:rPr>
        <w:t>Οι εργοδότες, που απασχολούν μαθητευόμενους στο πλαίσιο του «Προγράμματος μάθησης σε εργασιακό χώρο», αποστέλλουν στο ΕΠΑ.Λ. όπου φοιτά κάθε μαθητευόμενος όλα τα απαιτούμενα έντυπα και φυλάσσουν αντίγραφα σύμφωνα με τον Οδηγό Υλοποίησης και Εφαρμογής της συγχρηματοδοτούμενης Πράξης και τις εγκυκλίους των αρμόδιων Υπηρεσιών του Υ.ΠΑΙ.Θ.</w:t>
      </w:r>
    </w:p>
    <w:p>
      <w:pPr>
        <w:pStyle w:val="StructureList1"/>
        <w:spacing w:before="120" w:after="0"/>
        <w:rPr>
          <w:lang w:val="el" w:eastAsia="el"/>
        </w:rPr>
      </w:pPr>
      <w:r>
        <w:rPr>
          <w:lang w:val="el" w:eastAsia="el"/>
        </w:rPr>
        <w:t>η)</w:t>
      </w:r>
      <w:r>
        <w:rPr>
          <w:lang w:val="en" w:eastAsia="en"/>
        </w:rPr>
        <w:tab/>
      </w:r>
      <w:r>
        <w:rPr>
          <w:lang w:val="el" w:eastAsia="el"/>
        </w:rPr>
        <w:t>Οι εργοδότες, που απασχολούν μαθητευόμενους στο πλαίσιο του «Προγράμματος μάθησης σε εργασιακό χώρο», αποστέλλουν μηνιαίως στο ΕΠΑ.Λ. τεκμήρια εξόφλησης της αμοιβής των μαθητευόμενων. Οι μαθητευόμενοι αμείβονται υποχρεωτικά μέσω τραπεζικού λογαριασμού. Οι μαθητευόμενοι προσκομίζουν μηνιαίως στο ΕΠΑ.Λ. την «Ατομική καρτέλα ασφαλισμένου» που εκδίδεται από την εφαρμογή e-ΕΦΚΑ, σύμφωνα με τον Οδηγό Υλοποίησης και Εφαρμογής της συγχρηματοδοτούμενης Πράξης και τις εγκυκλίους των αρμόδιων Υπηρεσιών του Υ.ΠΑΙ.Θ.</w:t>
      </w:r>
    </w:p>
    <w:p>
      <w:pPr>
        <w:pStyle w:val="StructureList1"/>
        <w:spacing w:before="120" w:after="0"/>
        <w:rPr>
          <w:lang w:val="el" w:eastAsia="el"/>
        </w:rPr>
      </w:pPr>
      <w:r>
        <w:rPr>
          <w:lang w:val="el" w:eastAsia="el"/>
        </w:rPr>
        <w:t>ι)</w:t>
      </w:r>
      <w:r>
        <w:rPr>
          <w:lang w:val="en" w:eastAsia="en"/>
        </w:rPr>
        <w:tab/>
      </w:r>
      <w:r>
        <w:rPr>
          <w:lang w:val="el" w:eastAsia="el"/>
        </w:rPr>
        <w:t>Με ευθύνη του Διευθυντή του ΕΠΑ.Λ. και σε συνεργασία με τους εκπαιδευτικούς που εποπτεύουν κάθε τάξη μαθητείας καταχωρίζονται οι παρουσίες των μαθητευόμενων σε πληροφοριακό σύστημα. Η πίστωση των λογαριασμών των μαθητευόμενων πραγματοποιείται από την Επιτελική Δομή ΕΣΠΑ, Τομέα Παιδείας/Ειδικό Λογαριασμό του Υ.ΠΑΙ.Θ. Απαραίτητη προϋπόθεση για την πρώτη πίστωση των λογαριασμών των μαθητευόμενων αποτελεί η συμπλήρωση από τους μαθητευόμενους του απογραφικού δελτίου εισόδου συμμετεχόντων ΕΚΤ/ ΠΑΝ και αντίστοιχα για την τελευταία πίστωση η συμπλήρωση του απογραφικού δελτίου εξόδου συμμετεχόντων ΕΚΤ/ΠΑΝ.</w:t>
      </w:r>
    </w:p>
    <w:p>
      <w:pPr>
        <w:pStyle w:val="StructureList1"/>
        <w:spacing w:before="120" w:after="0"/>
        <w:rPr>
          <w:lang w:val="el" w:eastAsia="el"/>
        </w:rPr>
      </w:pPr>
      <w:r>
        <w:rPr>
          <w:lang w:val="el" w:eastAsia="el"/>
        </w:rPr>
        <w:t>ια)</w:t>
      </w:r>
      <w:r>
        <w:rPr>
          <w:lang w:val="en" w:eastAsia="en"/>
        </w:rPr>
        <w:tab/>
      </w:r>
      <w:r>
        <w:rPr>
          <w:lang w:val="el" w:eastAsia="el"/>
        </w:rPr>
        <w:t>Η συμμετοχή απόφοιτων ΕΝ.Ε.Ε.ΓΥ.-Λ. στο «Μεταλυκειακό έτος - Τάξη Μαθητείας» δεν επηρεάζει την καταβολή των όποιων ειδικών επιδομάτων - παροχών ήδη λαμβάνουν (ν. 4331/2015).</w:t>
      </w:r>
    </w:p>
    <w:p>
      <w:pPr>
        <w:pStyle w:val="StructureList1"/>
        <w:spacing w:before="120" w:after="0"/>
        <w:rPr>
          <w:lang w:val="el" w:eastAsia="el"/>
        </w:rPr>
      </w:pPr>
      <w:r>
        <w:rPr>
          <w:lang w:val="el" w:eastAsia="el"/>
        </w:rPr>
        <w:t>ιβ)</w:t>
      </w:r>
      <w:r>
        <w:rPr>
          <w:lang w:val="en" w:eastAsia="en"/>
        </w:rPr>
        <w:tab/>
      </w:r>
      <w:r>
        <w:rPr>
          <w:lang w:val="el" w:eastAsia="el"/>
        </w:rPr>
        <w:t>Η συμμετοχή δικαιούχων σύνταξης λόγω θανάτου στο «Μεταλυκειακό έτος - Τάξη Μαθητείας» δεν επηρεάζει την καταβολή σύνταξης εάν κατά τα άλλα εφαρμόζονται όλες οι διατάξεις του άρθρου 12 του ν. 4387/2016, όπως ισχύει με το άρθρο 1 του ν. 4499/2017, οι οποίες ρυθμίζουν συνολικά τις προϋποθέσεις και τη διάρκεια χορήγησης σύνταξης λόγω θανάτου σε σπουδάζοντα τέκνα.</w:t>
      </w:r>
    </w:p>
    <w:p>
      <w:pPr>
        <w:pStyle w:val="StructureList1"/>
        <w:spacing w:before="120" w:after="0"/>
        <w:rPr>
          <w:lang w:val="el" w:eastAsia="el"/>
        </w:rPr>
      </w:pPr>
      <w:r>
        <w:rPr>
          <w:lang w:val="el" w:eastAsia="el"/>
        </w:rPr>
        <w:t>ιγ)</w:t>
      </w:r>
      <w:r>
        <w:rPr>
          <w:lang w:val="en" w:eastAsia="en"/>
        </w:rPr>
        <w:tab/>
      </w:r>
      <w:r>
        <w:rPr>
          <w:lang w:val="el" w:eastAsia="el"/>
        </w:rPr>
        <w:t>Τις ημέρες επίσημης αργίας δεν πραγματοποιείται το «Πρόγραμμα μάθησης σε εργασιακό χώρο», ο εργοδότης δεν καταβάλλει αποζημίωση και ασφαλιστικές εισφορές και ο μαθητευόμενος δεν επιδοτείται από την Επιτελική Δομή ΕΣΠΑ, Τομέα Παιδείας.</w:t>
      </w:r>
    </w:p>
    <w:p>
      <w:pPr>
        <w:pStyle w:val="StructureList1"/>
        <w:spacing w:before="120" w:after="0"/>
        <w:rPr>
          <w:lang w:val="el" w:eastAsia="el"/>
        </w:rPr>
      </w:pPr>
      <w:r>
        <w:rPr>
          <w:lang w:val="el" w:eastAsia="el"/>
        </w:rPr>
        <w:t>ιδ)</w:t>
      </w:r>
      <w:r>
        <w:rPr>
          <w:lang w:val="en" w:eastAsia="en"/>
        </w:rPr>
        <w:tab/>
      </w:r>
      <w:r>
        <w:rPr>
          <w:lang w:val="el" w:eastAsia="el"/>
        </w:rPr>
        <w:t>Το Υπουργείο Εργασίας και Κοινωνικών Υποθέσεων είναι αρμόδιο για τον έλεγχο και την τήρηση των όρων υλοποίησης του προγράμματος Μάθησης σε εργασιακό χώρο μέσω των ελεγκτικών αρχών του.</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 και καταργεί κάθε άλλη απόφαση η οποία έρχεται σε αντίθεση ή ρυθμίζει διαφορετικά τα θέματα της παρούσης.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28 Σεπτεμβρίου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Ανάπτυξης Οικονομικών και Επενδύσεων</w:t>
      </w:r>
    </w:p>
    <w:p>
      <w:pPr>
        <w:spacing w:before="240" w:after="240"/>
        <w:rPr>
          <w:lang w:val="el" w:eastAsia="el"/>
        </w:rPr>
      </w:pPr>
      <w:r>
        <w:rPr>
          <w:b/>
          <w:bCs/>
          <w:lang w:val="el" w:eastAsia="el"/>
        </w:rPr>
        <w:t>ΘΕΟΔΩΡΟΣ ΣΚΥΛΑΚΑΚΗΣ ΙΩΑΝΝΗΣ ΤΣΑΚΙΡΗΣ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Εργασίας</w:t>
      </w:r>
    </w:p>
    <w:p>
      <w:pPr>
        <w:spacing w:before="240" w:after="240"/>
        <w:rPr>
          <w:lang w:val="el" w:eastAsia="el"/>
        </w:rPr>
      </w:pPr>
      <w:r>
        <w:rPr>
          <w:lang w:val="el" w:eastAsia="el"/>
        </w:rPr>
        <w:t>και Κοινωνικών Υποθέσεων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