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Γ.Π. B1 Β2/65589/2021</w:t>
      </w:r>
    </w:p>
    <w:p>
      <w:pPr>
        <w:pStyle w:val="Title"/>
        <w:spacing w:before="120" w:after="360"/>
        <w:rPr>
          <w:lang w:val="el" w:eastAsia="el"/>
        </w:rPr>
      </w:pPr>
      <w:r>
        <w:rPr>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01.10.2021-31.12.2023</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Γ.Π. B1 Β2/65589/2021</w:t>
      </w:r>
    </w:p>
    <w:p>
      <w:pPr>
        <w:pStyle w:val="PreambelText"/>
        <w:spacing w:before="240" w:after="240"/>
        <w:rPr>
          <w:lang w:val="el" w:eastAsia="el"/>
        </w:rPr>
      </w:pPr>
      <w:r>
        <w:rPr>
          <w:lang w:val="el" w:eastAsia="el"/>
        </w:rPr>
        <w:t>(ΦΕΚ Β' 4915/22-10-2021)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ιδίως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ιδίως τα άρθρα 22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ιδίως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π.δ. 68/2021 «Διορισμός Υπουργών, Αναπληρώτριας Υπουργού και Υφυπουργών» (Α'155).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StructureList1"/>
        <w:spacing w:before="120" w:after="0"/>
        <w:rPr>
          <w:lang w:val="el" w:eastAsia="el"/>
        </w:rPr>
      </w:pPr>
      <w:r>
        <w:rPr>
          <w:lang w:val="el" w:eastAsia="el"/>
        </w:rPr>
        <w:t>ια)</w:t>
      </w:r>
      <w:r>
        <w:rPr>
          <w:lang w:val="en" w:eastAsia="en"/>
        </w:rPr>
        <w:tab/>
      </w:r>
      <w:r>
        <w:rPr>
          <w:lang w:val="el" w:eastAsia="el"/>
        </w:rPr>
        <w:t>Την υπό στοιχεία Β1α/οικ. 76954/30.11.2020 εισήγηση της Γενικής Διεύθυνσης Οικονομικών Υπηρεσιών, σύμφωνα με την παρ. 5 του άρθρου 24 του ν. 4270/2014.</w:t>
      </w:r>
    </w:p>
    <w:p>
      <w:pPr>
        <w:pStyle w:val="StructureList1"/>
        <w:spacing w:before="120" w:after="0"/>
        <w:rPr>
          <w:lang w:val="el" w:eastAsia="el"/>
        </w:rPr>
      </w:pPr>
      <w:r>
        <w:rPr>
          <w:lang w:val="el" w:eastAsia="el"/>
        </w:rPr>
        <w:t>ιβ)</w:t>
      </w:r>
      <w:r>
        <w:rPr>
          <w:lang w:val="en" w:eastAsia="en"/>
        </w:rPr>
        <w:tab/>
      </w:r>
      <w:r>
        <w:rPr>
          <w:lang w:val="el" w:eastAsia="el"/>
        </w:rPr>
        <w:t>Την υπό στοιχεία Υ70/30.110.2020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Την υπό στοιχεία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(Β'4498) απόφασης του Αναπληρωτή Υπουργού Οικονομικών.</w:t>
      </w:r>
    </w:p>
    <w:p>
      <w:pPr>
        <w:pStyle w:val="PreambelText"/>
        <w:spacing w:before="240" w:after="240"/>
        <w:rPr>
          <w:lang w:val="el" w:eastAsia="el"/>
        </w:rPr>
      </w:pPr>
      <w:r>
        <w:rPr>
          <w:lang w:val="el" w:eastAsia="el"/>
        </w:rPr>
        <w:t>4. Το άρθρο τρίτο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5. Την υπ' αρ. 100335/21-06-2019 κοινή υπουργική απόφαση «Κριτήρια χαρακτηρισμού δαπανών επιστημονικής και τεχνολογικής έρευνας των επιχειρήσεων» (Β' 2600) κοινή υπουργική απόφαση, όπως τροποποιήθηκε με την υπ' αρ. 79230/15.7.2021 (Β'3293) κοινή υπουργική απόφαση.</w:t>
      </w:r>
    </w:p>
    <w:p>
      <w:pPr>
        <w:pStyle w:val="PreambelText"/>
        <w:spacing w:before="240" w:after="240"/>
        <w:rPr>
          <w:lang w:val="el" w:eastAsia="el"/>
        </w:rPr>
      </w:pPr>
      <w:r>
        <w:rPr>
          <w:lang w:val="el" w:eastAsia="el"/>
        </w:rPr>
        <w:t>6. Την υπό στοιχεία Β1α,Β2α,β/Γ.Π.οικ. 65587/20.10.2021 ο.ε. εισήγηση του ΓΔΟΥ της περ. (ε) της παρ. 5 του άρθρου 24 του ν. 4270/2014.</w:t>
      </w:r>
    </w:p>
    <w:p>
      <w:pPr>
        <w:pStyle w:val="PreambelText"/>
        <w:spacing w:before="240" w:after="240"/>
        <w:rPr>
          <w:lang w:val="el" w:eastAsia="el"/>
        </w:rPr>
      </w:pPr>
      <w:r>
        <w:rPr>
          <w:lang w:val="el" w:eastAsia="el"/>
        </w:rPr>
        <w:t>7. Το γεγονός ότι από τις διατάξεις της παρούσας προκαλείται δαπάνη μέχρι του ποσού των διακοσίων πενήντα εκατομμυρίων (250.000.000) ευρώ, σε βάρος του προϋπολογισμού του Υπουργείου Υγείας, οικονομικού έτους 2022, 2023 και 2024, η οποία θα καλυφθεί από το Ταμείο Ανάκαμψης ή/και από τον Κρατικό Προϋπολογισμό εντός του ισχύοντος Μ.Π.Δ.Σ.,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στην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υπηρεσιών ή γραμμών παραγωγής («Επενδυτικό Σχέδιο») νοείται κάθε ενέργεια που αποσκοπεί στην εγκατάσταση νέας ή στον εκσυγχρονισμό υπάρχουσας παραγωγικής διαδικασίας με σκοπό την βελτίωση υφιστάμενων διεργασιών παραγωγής, την αύξηση της δυναμικότητας αυτών και την βελτίωση της ποιότητας των παραγόμενων προϊόντων.</w:t>
      </w:r>
    </w:p>
    <w:p>
      <w:pPr>
        <w:spacing w:before="240" w:after="240"/>
        <w:rPr>
          <w:lang w:val="el" w:eastAsia="el"/>
        </w:rPr>
      </w:pPr>
      <w:r>
        <w:rPr>
          <w:lang w:val="el" w:eastAsia="el"/>
        </w:rPr>
        <w:t>3) Ως Δικαιούχος για Έργο Ε&amp;Α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 είναι επίσης επιχειρήσεις που δραστηριοποιούνται σε τομείς οικονομικής δραστηριότητας που εμπίπτουν στους κωδικούς δραστηριότητας ΚΑΔ 21.10, 21.20, 26.60, 32.50 και 17.22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περ. ζ' της παρ. 1 του άρθρου 11 του ν. 4052/2012 (Α' 41) και της παρ. 1β) του άρθρου 100 του ν. 4172/2013,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των προηγούμενων ετών ήτοι έως 31 Δεκεμβρίου του προηγούμενου έτους από την περίοδο αναφοράς,</w:t>
      </w:r>
    </w:p>
    <w:p>
      <w:pPr>
        <w:pStyle w:val="StructureList1"/>
        <w:spacing w:before="120" w:after="0"/>
        <w:rPr>
          <w:lang w:val="el" w:eastAsia="el"/>
        </w:rPr>
      </w:pPr>
      <w:r>
        <w:rPr>
          <w:lang w:val="el" w:eastAsia="el"/>
        </w:rPr>
        <w:t>γ)</w:t>
      </w:r>
      <w:r>
        <w:rPr>
          <w:lang w:val="en" w:eastAsia="en"/>
        </w:rPr>
        <w:tab/>
      </w:r>
      <w:r>
        <w:rPr>
          <w:lang w:val="el" w:eastAsia="el"/>
        </w:rPr>
        <w:t>η καταβολή των ποσών επιστροφής (rebate) από το 2021 και εντεύθεν,</w:t>
      </w:r>
    </w:p>
    <w:p>
      <w:pPr>
        <w:pStyle w:val="StructureList1"/>
        <w:spacing w:before="120" w:after="0"/>
        <w:rPr>
          <w:lang w:val="el" w:eastAsia="el"/>
        </w:rPr>
      </w:pPr>
      <w:r>
        <w:rPr>
          <w:lang w:val="el" w:eastAsia="el"/>
        </w:rPr>
        <w:t>δ)</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άρθρου 2 του ΓΑΚ όπως ισχύει για την περίοδο αναφοράς όπου γίνεται ο συμψηφισμός.</w:t>
      </w:r>
    </w:p>
    <w:p>
      <w:pPr>
        <w:spacing w:before="240" w:after="240"/>
        <w:rPr>
          <w:lang w:val="el" w:eastAsia="el"/>
        </w:rPr>
      </w:pPr>
      <w:r>
        <w:rPr>
          <w:lang w:val="el" w:eastAsia="el"/>
        </w:rPr>
        <w:t>4) Ως περίοδος αναφοράς ορίζεται η περίοδος για την οποία υποβάλλονται προς συμψηφισμό δαπάνες έρευνας και ανάπτυξης και δαπάνες επενδυτικών σχεδίων ανάπτυξης προϊόντων ή υπηρεσιών ή γραμμών παραγωγής όπως ορίζονται στην επόμενη παρ. 5Α, 5Β, 5Γ.</w:t>
      </w:r>
    </w:p>
    <w:p>
      <w:pPr>
        <w:spacing w:before="240" w:after="240"/>
        <w:rPr>
          <w:lang w:val="el" w:eastAsia="el"/>
        </w:rPr>
      </w:pPr>
      <w:r>
        <w:rPr>
          <w:lang w:val="el" w:eastAsia="el"/>
        </w:rPr>
        <w:t>5) Το ποσό συμψηφισμού της περιόδου 01.10.2021 έως 31.12.2023 ανέρχεται σε διακόσια πενήντα εκατομμύρια (250.000.000 €) ευρώ το οποίο κατανέμεται ως εξής:</w:t>
      </w:r>
    </w:p>
    <w:p>
      <w:pPr>
        <w:spacing w:before="240" w:after="240"/>
        <w:rPr>
          <w:lang w:val="el" w:eastAsia="el"/>
        </w:rPr>
      </w:pPr>
      <w:r>
        <w:rPr>
          <w:lang w:val="el" w:eastAsia="el"/>
        </w:rPr>
        <w:t>Α) το ποσό συμψηφισμού για την περίοδο 01.10.2021-30.06.2022, ανέρχεται σε εβδομήντα πέντε εκατομμύρια (75.000.000,00 €) ευρώ (εκταμίευση 2022).</w:t>
      </w:r>
    </w:p>
    <w:p>
      <w:pPr>
        <w:spacing w:before="240" w:after="240"/>
        <w:rPr>
          <w:lang w:val="el" w:eastAsia="el"/>
        </w:rPr>
      </w:pPr>
      <w:r>
        <w:rPr>
          <w:lang w:val="el" w:eastAsia="el"/>
        </w:rPr>
        <w:t>Β) το ποσό συμψηφισμού για την περίοδο 01.07.2022-31.12.2022 ανέρχεται σε εβδομήντα πέντε εκατομμύρια (75.000.000,00 €) ευρώ (εκταμίευση 2023).</w:t>
      </w:r>
    </w:p>
    <w:p>
      <w:pPr>
        <w:spacing w:before="240" w:after="240"/>
        <w:rPr>
          <w:lang w:val="el" w:eastAsia="el"/>
        </w:rPr>
      </w:pPr>
      <w:r>
        <w:rPr>
          <w:lang w:val="el" w:eastAsia="el"/>
        </w:rPr>
        <w:t>Γ) το ποσό συμψηφισμού για την περίοδο 01.01.2023-31.12.2023 ανέρχεται σε εκατό εκατομμύρια (100.000.000,00 €) ευρώ (εκταμίευση 2024).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Έρευνας και Ανάπτυξης (Ε&amp;Α) χορηγούνται πληρουμένου του συνόλου των προϋποθέσεων του άρθρου 25 του Κανονισμού (ΕΕ) 651/2014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(Ε&amp;Α)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 2 και 3, που είναι απαραίτητες για την συμπλήρωση του εγκριτικού φακέλου του προϊόντος (αποτελεσματικότητας, ασφάλειας, φαρ-μακοκινητικής/ φαρμακοδυναμικής, βιοϊσοδυναμίας, σταθερότητας κ.λπ.) και αφορούν χορήγηση άδειας κυκλοφορίας φαρμάκου ή επέκτασης / τροποποίησης χορηγηθείσας άδειας. Οι ανωτέρω δοκιμές των φάσεων 1, 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στην παρ. 3 του άρθρο 108 της Συνθήκης, εφόσον πληρούνται οι προϋποθέσεις του άρθρου 14 του Κανονισμού (ΕΕ) 651/2014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 Στις ενισχυόμενες περιοχές που πληρούν τις προϋποθέσεις του στοιχείου α) της παρ. 3 του άρθρου 107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άρθρου 2 του Κανονισμού (ΕΕ)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 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του στοιχείου γ) της παρ. 3 του άρθρου 107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Κανονισμού (ΕΕ) 651/2014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Κανονισμού (ΕΕ) 651/2014,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ανάπτυξη-παραγωγή-αποθήκευση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pStyle w:val="MainText"/>
        <w:spacing w:before="120" w:after="0"/>
        <w:rPr>
          <w:lang w:val="el" w:eastAsia="el"/>
        </w:rPr>
      </w:pPr>
      <w:r>
        <w:rPr>
          <w:b/>
          <w:bCs/>
          <w:lang w:val="el" w:eastAsia="el"/>
        </w:rPr>
        <w:t>4.</w:t>
      </w:r>
      <w:r>
        <w:rPr>
          <w:lang w:val="el" w:eastAsia="el"/>
        </w:rPr>
        <w:t xml:space="preserve"> Σύμφωνα με την παρ. του άρθρου 4 του Κανονισμού (ΕΕ) 651/2014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σημείο 20 του άρθρου 2 του Κανονισμού (ΕΕ) 651/2014, προκειμένου για επένδυση με επιλέξιμες δαπάνες ύψους 100 εκατ.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 ευρώ ανά επιχείρηση και ανά έργο.</w:t>
      </w:r>
    </w:p>
    <w:p>
      <w:pPr>
        <w:pStyle w:val="StructureList1"/>
        <w:spacing w:before="120" w:after="0"/>
        <w:rPr>
          <w:lang w:val="el" w:eastAsia="el"/>
        </w:rPr>
      </w:pPr>
      <w:r>
        <w:rPr>
          <w:lang w:val="el" w:eastAsia="el"/>
        </w:rPr>
        <w:t>iii)</w:t>
      </w:r>
      <w:r>
        <w:rPr>
          <w:lang w:val="en" w:eastAsia="en"/>
        </w:rPr>
        <w:tab/>
      </w:r>
      <w:r>
        <w:rPr>
          <w:lang w:val="el" w:eastAsia="el"/>
        </w:rPr>
        <w:t>ενισχύσεις για μελέτες σκοπιμότητας κατά την προετοιμασία ερευνητικών δραστηριοτήτων: 7,5 εκατ.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Ε&amp;Α και επενδυτικών σχεδίων χορηγούνται πληρουμένων των παρ. 1 και 2 του άρθρου 6 και του άρθρου 8 του Κανονισμού (ΕΕ) 651/2014, όπου εφαρμόζονται στην παρούσα.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αιτημάτων ενίσχυσης έργων Ε&amp;Α ή/και επενδυτικών σχεδίων ανάπτυξης προϊόντων ή υπηρεσιών ή γραμμών παραγωγής</w:t>
      </w:r>
    </w:p>
    <w:p>
      <w:pPr>
        <w:spacing w:before="240" w:after="240"/>
        <w:rPr>
          <w:lang w:val="el" w:eastAsia="el"/>
        </w:rPr>
      </w:pPr>
      <w:r>
        <w:rPr>
          <w:lang w:val="el" w:eastAsia="el"/>
        </w:rPr>
        <w:t>Μετά τη δημοσίευση της παρούσης, η Γ.Γ.Ε.Κ. προβαίνει σε ανακοίνωση στην ιστοσελίδας της για την έναρξη υποβολής αιτημάτων ενίσχυσης έργων Ε&amp;Α ή/και επενδυτικών σχεδίων ανάπτυξης προϊόντων ή υπηρεσιών ή γραμμών παραγωγής. Αιτήματα μπορούν να υποβάλλουν 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παρούσης.</w:t>
      </w:r>
    </w:p>
    <w:p>
      <w:pPr>
        <w:spacing w:before="240" w:after="240"/>
        <w:rPr>
          <w:lang w:val="el" w:eastAsia="el"/>
        </w:rPr>
      </w:pPr>
      <w:r>
        <w:rPr>
          <w:lang w:val="el" w:eastAsia="el"/>
        </w:rPr>
        <w:t>Το αίτημα ενίσχυσης μπορεί να υποβληθεί είτε για το σύνολο της περιόδου 01.10.2021 έως 31.12.2023 είτε για ενδιάμεση χρονική περίοδο, πριν την έναρξη εργασιών και δαπανών για το έργο ή την δραστηριότητα.</w:t>
      </w:r>
    </w:p>
    <w:p>
      <w:pPr>
        <w:spacing w:before="240" w:after="240"/>
        <w:rPr>
          <w:lang w:val="el" w:eastAsia="el"/>
        </w:rPr>
      </w:pPr>
      <w:r>
        <w:rPr>
          <w:lang w:val="el" w:eastAsia="el"/>
        </w:rPr>
        <w:t>Ως έναρξη εργασιών / δαπανών των έργων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Κανονισμού (ΕΕ) 651/2014:</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 β) 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παρούσης το ποσό συμψηφισμού) που απαιτείται για το έργο.</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ο αναπτυξιακός χαρακτήρας του και ο των επιμερισμός δαπανών ανά περίοδο αναφοράς. Οι δαπάνες του άρθρου 4 των έργων Ε&amp;Α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 στην Γ.Γ.Ε.Κ., για το χρονικό διάστημα που ορίζεται στην αίτηση ενίσχυσης, το οποίο δεν μπορεί να υπερβεί την 31.12.2023.</w:t>
      </w:r>
    </w:p>
    <w:p>
      <w:pPr>
        <w:spacing w:before="240" w:after="240"/>
        <w:rPr>
          <w:lang w:val="el" w:eastAsia="el"/>
        </w:rPr>
      </w:pPr>
      <w:r>
        <w:rPr>
          <w:lang w:val="el" w:eastAsia="el"/>
        </w:rPr>
        <w:t>Η Γ.Γ.Ε.Κ. εξετάζει την πληρότητα εκάστου αιτήματος, δύναται να ζητήσει διευκρινίσεις ή / και συμπληρωματικά στοιχεία εντός του χρονικού διαστήματος που θα ορίσει στην ανακοίνωση και ενημερώνει τους δυνητικούς δικαιούχους.</w:t>
      </w:r>
    </w:p>
    <w:p>
      <w:pPr>
        <w:spacing w:before="240" w:after="240"/>
        <w:rPr>
          <w:lang w:val="el" w:eastAsia="el"/>
        </w:rPr>
      </w:pPr>
      <w:r>
        <w:rPr>
          <w:lang w:val="el" w:eastAsia="el"/>
        </w:rPr>
        <w:t>Η Γ.Γ.Ε.Κ. θα χρησιμοποιήσει κατάλληλη ηλεκτρονική πλατφόρμα για την διαχείριση των αιτημάτων.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και του άρθρου 25 του Κανονισμού (ΕΕ)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Ε&amp;Α.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Ε&amp;Α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 (70%)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 / 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 6 έως και 8 του άρθρου 14 του Κανονισμού (ΕΕ) 651/2014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ανάπτυξη-παραγωγή- 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Αγορά ή χρηματοδοτική μίσθωση (leasing), για την εγκατάσταση καινούργιων σύγχρονων μηχανημάτων ή μεταχειρισμένων που δεν μπορεί να είναι παλαιότερα των δέκα (10) ετών από την ημερομηνία κατασκευής τους και λοιπού εξοπλισμού, τεχνικών εγκαταστάσεων και μεταφορικών μέσων εσωτερικής διακίνησης.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εκσυγχρονισμός αποθηκών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αφορούν, μεταφορά τεχνολογίας, αγορά δικαιωμάτων πνευματικής ιδιοκτησίας, άδειες εκμετάλλευσης, ευρεσιτεχνίες, τεχνογνωσία και μη κατοχυρωμένες τεχνικές γνώσεις, μελέτες κτιριακών εγκαταστάσεων έως 50% του συνόλου των επιλέξιμων δαπανών των επενδυτικών σχεδίων.</w:t>
      </w:r>
    </w:p>
    <w:p>
      <w:pPr>
        <w:pStyle w:val="StructureList1"/>
        <w:spacing w:before="120" w:after="0"/>
        <w:rPr>
          <w:lang w:val="el" w:eastAsia="el"/>
        </w:rPr>
      </w:pPr>
      <w:r>
        <w:rPr>
          <w:lang w:val="el" w:eastAsia="el"/>
        </w:rPr>
        <w:t>γ)</w:t>
      </w:r>
      <w:r>
        <w:rPr>
          <w:lang w:val="en" w:eastAsia="en"/>
        </w:rPr>
        <w:tab/>
      </w:r>
      <w:r>
        <w:rPr>
          <w:lang w:val="el" w:eastAsia="el"/>
        </w:rPr>
        <w:t>Δαπάνες εκσυγχρονισμού και συντήρησης υφιστάμενων κτιριακών, μηχανολογικών εγκαταστάσεων και εξοπλισμού παραγωγής.</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 Οι δαπάνες που κρίνονται επιλέξιμες στο πλαίσιο του Έργου Ε&amp;Α ή του Επενδυτικού Σχεδίου, υπολογίζονται στη βάση του πραγματικού κόστους, δηλαδή έχουν πραγματοποιηθεί από τους Δικαιούχους και τεκμηριώνονται από εξοφλημένα τιμολόγια ή λογιστικά στοιχεία ισοδύναμης αποδεικτικής αξίας, έκδοσης στην περίοδο αναφοράς και εξόφλησης έως την ημερομηνία ελέγχου από τον ορκωτό λογιστή και στη βάση απλοποιημένου κόστους για τις δαπάνες προσωπικού (μισθοδοσία με βάση σύμβαση εξαρτημένης σχέσης εργασίας αορίστου /ορισμένου χρόνου ή μίσθωσης έργου).</w:t>
      </w:r>
    </w:p>
    <w:p>
      <w:pPr>
        <w:spacing w:before="240" w:after="240"/>
        <w:rPr>
          <w:lang w:val="el" w:eastAsia="el"/>
        </w:rPr>
      </w:pPr>
      <w:r>
        <w:rPr>
          <w:lang w:val="el" w:eastAsia="el"/>
        </w:rPr>
        <w:t>Επιλέξιμες είναι οι δαπάνες που έχουν πραγματοποιηθεί εντός της περιόδου αναφοράς, στην οποία γίνεται η πιστοποίηση των δαπανών και μετά την ημερομηνία αιτήματος ενίσχυσης του έργου Ε&amp;Α ή/και του επενδυτικού σχεδίου της παρ. 1 του άρθρου 3 στην Γ.Γ.Ε.Κ.. Επίσης γίνονται αποδεκτές προκαταβολές, δόσεις και αποπληρωμές δαπανών των επενδυτικών σχεδίων και των έργων Ε&amp;Α (στα έργα Ε&amp;Α εξαιρούνται οι προκαταβολές δαπανών κτιριακών εγκαταστάσεων και εξοπλισμού) στην περίοδο αναφοράς, μετά την υποβολή του αιτήματος ενίσχυσης.</w:t>
      </w:r>
    </w:p>
    <w:p>
      <w:pPr>
        <w:spacing w:before="240" w:after="240"/>
        <w:rPr>
          <w:lang w:val="el" w:eastAsia="el"/>
        </w:rPr>
      </w:pPr>
      <w:r>
        <w:rPr>
          <w:lang w:val="el" w:eastAsia="el"/>
        </w:rPr>
        <w:t>Επισημαίνεται ότι για κάθε αίτημα πιστοποίησης πρέπει να έχει προηγηθεί η υποβολή αιτήματος ενίσχυσης που να περιλαμβάνει την περίοδο αυτή, σύμφωνα με τα προβλεπόμενα στο άρθρο 3 της παρούσης, άλλως δεν κρίνεται επιλέξιμη προς συμψηφισμό καμία δαπάνη, (συμπεριλαμβανομένων των προκαταβολών, δόσεων και αποπληρωμών) και δεν μεταφέρονται στην επόμενη περίοδο.</w:t>
      </w:r>
    </w:p>
    <w:p>
      <w:pPr>
        <w:spacing w:before="240" w:after="240"/>
        <w:rPr>
          <w:lang w:val="el" w:eastAsia="el"/>
        </w:rPr>
      </w:pPr>
      <w:r>
        <w:rPr>
          <w:lang w:val="el" w:eastAsia="el"/>
        </w:rPr>
        <w:t>Για την έγκριση της προκαταβολής ο δικαιούχος υποβάλει υπεύθυνη δήλωση για την ολοκλήρωση της υλοποίησης της αγοράς ή του έργου έως 31.12.2023 ενώ για την έγκριση της αποπληρωμής ή δόσης η έναρξη του έργου ή η έκδοση του τιμολογίου θα πρέπει να έχει πραγματοποιηθεί μετά την ημερομηνία της αίτησης ενίσχυσης του σχεδίου Ε&amp;Α ή/και του επενδυτικού σχεδίου με βάση το άρθρο 3.</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Στις περιπτώσεις κατά τις οποίες τα Έργα Ε&amp;Α χρηματοδοτούνται από κοινού από θυγατρική και μητρική επιχείρηση ή από συνδεδεμένες επιχειρήσεις, οι δαπάνες είναι επιλέξιμες εφόσον αποδειχθεί, σύμφωνα με τα οριζόμενα στο άρθρο 6 της παρούσας, ότι αφορούν το φυσικό αντικείμενο του Έργου Ε&amp;Α ακόμα και εάν οι επιχειρήσεις είναι διαφορετικές νομικές οντότητες με την προϋπόθεση ότι έχουν υποκατάστημα ή συνδεδεμένη οντότητα στην Ελλάδα που να καλύπτει τις προϋποθέσεις του άρθρου 1 και οι δαπάνες για το έργο - υπηρεσία πραγματοποιούνται στην Ελλάδα.</w:t>
      </w:r>
    </w:p>
    <w:p>
      <w:pPr>
        <w:pStyle w:val="MainText"/>
        <w:spacing w:before="120" w:after="0"/>
        <w:rPr>
          <w:lang w:val="el" w:eastAsia="el"/>
        </w:rPr>
      </w:pPr>
      <w:r>
        <w:rPr>
          <w:b/>
          <w:bCs/>
          <w:lang w:val="el" w:eastAsia="el"/>
        </w:rPr>
        <w:t>7.</w:t>
      </w:r>
      <w:r>
        <w:rPr>
          <w:lang w:val="el" w:eastAsia="el"/>
        </w:rPr>
        <w:t xml:space="preserve"> Για την περίοδο αναφοράς, το συνολικό ποσό των δαπανών το οποίο θα συμψηφιστεί, σύμφωνα με το άρθρο 6 της παρούσης, με την αυτόματη επιστροφή (clawback) δεν δύναται να ξεπεράσει το ποσό συμψηφισμού της περιόδου αναφοράς. Το ποσό θα κατανεμηθεί ποσοστιαία στις δύο (2) ομάδες κατηγοριών δαπανών, ως εξής:</w:t>
      </w:r>
    </w:p>
    <w:p>
      <w:pPr>
        <w:spacing w:before="240" w:after="240"/>
        <w:rPr>
          <w:lang w:val="el" w:eastAsia="el"/>
        </w:rPr>
      </w:pPr>
      <w:r>
        <w:rPr>
          <w:lang w:val="el" w:eastAsia="el"/>
        </w:rPr>
        <w:t>1) Ομάδα 1, η οποία περιλαμβάνει τις δαπάνες Έργων Ε&amp;Α. Ο προϋπολογισμός της συγκεκριμένης Ομάδας κατηγοριών δαπανών ανέρχεται, κατά μέγιστο στο πενήντα τοις εκατό (50%) του συνολικού ποσού συμψηφισμού της περιόδου αναφοράς.</w:t>
      </w:r>
    </w:p>
    <w:p>
      <w:pPr>
        <w:spacing w:before="240" w:after="240"/>
        <w:rPr>
          <w:lang w:val="el" w:eastAsia="el"/>
        </w:rPr>
      </w:pPr>
      <w:r>
        <w:rPr>
          <w:lang w:val="el" w:eastAsia="el"/>
        </w:rPr>
        <w:t>2) Ομάδα 2, η οποία περιλαμβάνει τις δαπάνες για Επενδυτικών Σχεδίων. Ο προϋπολογισμός της συγκεκριμένης Ομάδας κατηγοριών δαπανών ανέρχεται, κατά μέγιστο στο πενήντα τοις εκατό (50%) του συνολικού ποσού συμψηφισμού της περιόδου αναφοράς.</w:t>
      </w:r>
    </w:p>
    <w:p>
      <w:pPr>
        <w:pStyle w:val="MainText"/>
        <w:spacing w:before="120" w:after="0"/>
        <w:rPr>
          <w:lang w:val="el" w:eastAsia="el"/>
        </w:rPr>
      </w:pPr>
      <w:r>
        <w:rPr>
          <w:b/>
          <w:bCs/>
          <w:lang w:val="el" w:eastAsia="el"/>
        </w:rPr>
        <w:t>8.</w:t>
      </w:r>
      <w:r>
        <w:rPr>
          <w:lang w:val="el" w:eastAsia="el"/>
        </w:rPr>
        <w:t xml:space="preserve"> Για τα έργα Ε&amp;Α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Κανονισμού (ΕΕ) 651/2014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 Σε περίπτωση τροποποίησης του Χάρτη των Περιφερειακών Ενισχύσεων εφαρμόζονται τα ισχύοντα μετά την υποβολή της αίτησης ενίσχυσης και πριν την έκδοση της βεβαίωσης από την Γ.Γ.Ε.Κ. Συνεπώς η ένταση της ενίσχυσης, την οποία θα λάβει ο δυνητικός δικαιούχος, θα προσδιοριστεί με τα δεδομένα κατά την έκδοση της βεβαίωσης.</w:t>
      </w:r>
    </w:p>
    <w:p>
      <w:pPr>
        <w:spacing w:before="240" w:after="240"/>
        <w:rPr>
          <w:lang w:val="el" w:eastAsia="el"/>
        </w:rPr>
      </w:pPr>
      <w:r>
        <w:rPr>
          <w:lang w:val="el" w:eastAsia="el"/>
        </w:rPr>
        <w:t>Εάν το σύνολο του ποσού συμψηφισμού των επιλέξιμων δαπανών για όλους τους δικαιούχους υπερβαίνει το προϋπολογισθέν ποσό ανά ομάδα κατηγοριών δαπανών τότε το ποσό που θα συμψηφίζεται ανά δικαιούχο και ομάδα θα είναι ίσο με ποσοστό επί του υπολογισθέντος ποσού συμψηφισμού. Το ποσοστό ανά ομάδα θα προκύπτει ως το πηλίκο του προϋπολογισθέντος ποσού προς συμψηφισμό προς το άθροισμα των ποσών συμψηφισμού των υποβαλλόμενων επιλέξιμων δαπανών από όλους τους δικαιούχους. Σε περίπτωση που μια από τις δυο κατηγορίες δαπανών δεν απορροφήσει όλο το προβλεπόμενο για αυτήν ποσό, ενώ η άλλη το υπερβεί, τότε το πλεονάζον ποσό μεταφέρεται στην άλλη κατηγορία. Σε περίπτωση που το ποσό συμψηφισμού του Δικαιούχου υπερβαίνει το ποσό clawback που του αναλογεί στην περίοδο αναφοράς, η διαφορά πιστώνεται στον ΕΟΠΠΥ ή στην Διεύθυνση Οικονομικών του Υπουργείου Υγείας και ο δικαιούχος το συμψηφίζει την επόμενη περίοδο με τις νέες υποχρεώσεις του.</w:t>
      </w:r>
    </w:p>
    <w:p>
      <w:pPr>
        <w:spacing w:before="240" w:after="240"/>
        <w:rPr>
          <w:lang w:val="el" w:eastAsia="el"/>
        </w:rPr>
      </w:pPr>
      <w:r>
        <w:rPr>
          <w:lang w:val="el" w:eastAsia="el"/>
        </w:rPr>
        <w:t>Οι δαπάνες που αντιστοιχούν στο ποσό που δεν συμψηφίζεται, με βάση την ένταση ενίσχυσης του δικαιούχου, λόγω υπέρβασης του ποσού συμψηφισμού της περιόδου αναφοράς, επιστρέφονται στον φορέα ο οποίος τις υπέβαλλε με σχετική βεβαίωση περικοπής, η οποία εκδίδεται από το Γενικό Γραμματέα Έρευνας και Καινοτομίας στην οποία αναφέρεται ο λόγος περικοπής. Ο δικαιούχος μπορεί να χρησιμοποιήσει το ποσό που δεν θα συμψηφιστεί (τελικό ποσό επιλέξιμων δαπανών μείον δαπάνες που συμψηφίζονται και των δαπανών που έχουν περικοπεί) προκειμένου να αιτηθεί χρηματοδότηση από οποιονδήποτε άλλο εθνικό, ευρωπαϊκό ή διεθνή φορέα. Οι επιλέξιμες δαπάνες έργων Ε&amp;Α που αντιστοιχούν στο ποσό που δεν συμψηφίζεται, με βάση την ένταση ενίσχυσης του δικαιούχου, λόγω υπέρβασης του ποσού συμψηφισμού την περίοδο αναφοράς, μπορούν να ενταχθούν στο άρθρο 46 του ν. 4712/2020 του αντίστοιχου έτους αναφοράς μετά από αίτηση του δικαιούχου, σύμφωνα με τα οριζόμενα σε αυτό.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Γενικού Διευθυντή,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(Α'167), ν. 4712/2020 (Α'146) και ν.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(2) ετών μετά την ολοκλήρωση της αρχικής επένδυσης για την οποία ζητείται η ενίσχυση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του παρόντος,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και Επενδύσεων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Διαδικασίες πιστοποίησης δαπανών</w:t>
      </w:r>
    </w:p>
    <w:p>
      <w:pPr>
        <w:pStyle w:val="MainText"/>
        <w:spacing w:before="120" w:after="0"/>
        <w:rPr>
          <w:lang w:val="el" w:eastAsia="el"/>
        </w:rPr>
      </w:pPr>
      <w:r>
        <w:rPr>
          <w:b/>
          <w:bCs/>
          <w:lang w:val="el" w:eastAsia="el"/>
        </w:rPr>
        <w:t>1.</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 λογιστή ή ελεγκτική εταιρεία που είναι εγγεγραμμένος / η στο Δημόσιο Μητρώο του άρθρου 14 του ν. 4449/2017 και που διαθέτει ασφαλιστική κάλυψη επαγγελματικής ευθύνης ποσού τουλάχιστον ενός εκατομμυρίου (1.000.000 €) ευρώ ανά συμβάν και συνολικού ποσού τουλάχιστον πέντε εκατομμυρίων (5.000.000 €)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2.</w:t>
      </w:r>
      <w:r>
        <w:rPr>
          <w:lang w:val="el" w:eastAsia="el"/>
        </w:rPr>
        <w:t xml:space="preserve"> Για την επαλήθευση των δαπανών απαιτείται κατάθεση ή υποβολή μέσω κατάλληλης ηλεκτρονικής πλατφόρμας , από το δικαιούχο, φακέλου τεκμηρίωσης των δαπανών Ε&amp;Α και των δαπανών των Επενδυτικών Σχεδίων στην Γενική Γραμματεία Έρευνας και Καινοτομίας, με τα ακόλουθα δικαιολογητικά:</w:t>
      </w:r>
    </w:p>
    <w:p>
      <w:pPr>
        <w:spacing w:before="240" w:after="240"/>
        <w:rPr>
          <w:lang w:val="el" w:eastAsia="el"/>
        </w:rPr>
      </w:pPr>
      <w:r>
        <w:rPr>
          <w:lang w:val="el" w:eastAsia="el"/>
        </w:rPr>
        <w:t>1) Πρακτικό απόφασης του Διοικητικού Συμβουλίου σε περίπτωση Α.Ε. ή απόφαση των Διαχειριστών, σε περίπτωση Ε.Π.Ε. ή Ο.Ε. ή Ε.Ε., με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αντικείμενο και τους στόχους του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το χρονοδιάγραμμα εκτέλεσης,</w:t>
      </w:r>
    </w:p>
    <w:p>
      <w:pPr>
        <w:pStyle w:val="StructureList1"/>
        <w:spacing w:before="120" w:after="0"/>
        <w:rPr>
          <w:lang w:val="el" w:eastAsia="el"/>
        </w:rPr>
      </w:pPr>
      <w:r>
        <w:rPr>
          <w:lang w:val="el" w:eastAsia="el"/>
        </w:rPr>
        <w:t>γ)</w:t>
      </w:r>
      <w:r>
        <w:rPr>
          <w:lang w:val="en" w:eastAsia="en"/>
        </w:rPr>
        <w:tab/>
      </w:r>
      <w:r>
        <w:rPr>
          <w:lang w:val="el" w:eastAsia="el"/>
        </w:rPr>
        <w:t>τη σύνθεση της ομάδας έργου Ε&amp;Α,</w:t>
      </w:r>
    </w:p>
    <w:p>
      <w:pPr>
        <w:pStyle w:val="StructureList1"/>
        <w:spacing w:before="120" w:after="0"/>
        <w:rPr>
          <w:lang w:val="el" w:eastAsia="el"/>
        </w:rPr>
      </w:pPr>
      <w:r>
        <w:rPr>
          <w:lang w:val="el" w:eastAsia="el"/>
        </w:rPr>
        <w:t>δ)</w:t>
      </w:r>
      <w:r>
        <w:rPr>
          <w:lang w:val="en" w:eastAsia="en"/>
        </w:rPr>
        <w:tab/>
      </w:r>
      <w:r>
        <w:rPr>
          <w:lang w:val="el" w:eastAsia="el"/>
        </w:rPr>
        <w:t>τον προϋπολογισμό ανά κατηγορία δαπάνης και το συνολικό προϋπολογισμό του Έργου Ε&amp;Α ή του Επενδυτικού Σχεδίου, και</w:t>
      </w:r>
    </w:p>
    <w:p>
      <w:pPr>
        <w:pStyle w:val="StructureList1"/>
        <w:spacing w:before="120" w:after="0"/>
        <w:rPr>
          <w:lang w:val="el" w:eastAsia="el"/>
        </w:rPr>
      </w:pPr>
      <w:r>
        <w:rPr>
          <w:lang w:val="el" w:eastAsia="el"/>
        </w:rPr>
        <w:t>ε)</w:t>
      </w:r>
      <w:r>
        <w:rPr>
          <w:lang w:val="en" w:eastAsia="en"/>
        </w:rPr>
        <w:tab/>
      </w:r>
      <w:r>
        <w:rPr>
          <w:lang w:val="el" w:eastAsia="el"/>
        </w:rPr>
        <w:t>τον τελικό πίνακα των υποβαλλόμενων δαπανών προς συμψηφισμό με ανάλυση ανά κατηγορία για την περίοδο αναφοράς</w:t>
      </w:r>
    </w:p>
    <w:p>
      <w:pPr>
        <w:spacing w:before="240" w:after="240"/>
        <w:rPr>
          <w:lang w:val="el" w:eastAsia="el"/>
        </w:rPr>
      </w:pPr>
      <w:r>
        <w:rPr>
          <w:lang w:val="el" w:eastAsia="el"/>
        </w:rPr>
        <w:t>2) Αντίγραφα των παραστατικών δαπανών, ανά κατηγορία δαπάνης, μετά τον έλεγχό τους από ορκωτό ελεγκτή - λογιστή ή ελεγκτική εταιρεία, σύμφωνα με την παρ. 1 του παρόντος άρθρου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τιμολόγια ή λογιστικά έγγραφα ισοδύναμης αποδεικτικής ισχύος, σύμφωνα με την ισχύουσα εθνική νομοθεσία,</w:t>
      </w:r>
    </w:p>
    <w:p>
      <w:pPr>
        <w:pStyle w:val="StructureList1"/>
        <w:spacing w:before="120" w:after="0"/>
        <w:rPr>
          <w:lang w:val="el" w:eastAsia="el"/>
        </w:rPr>
      </w:pPr>
      <w:r>
        <w:rPr>
          <w:lang w:val="el" w:eastAsia="el"/>
        </w:rPr>
        <w:t>β)</w:t>
      </w:r>
      <w:r>
        <w:rPr>
          <w:lang w:val="en" w:eastAsia="en"/>
        </w:rPr>
        <w:tab/>
      </w:r>
      <w:r>
        <w:rPr>
          <w:lang w:val="el" w:eastAsia="el"/>
        </w:rPr>
        <w:t>αποδεικτικά εξόφλησης για παραστατικά των οποίων η εξόφληση προβλέπεται μέσω τραπεζικής πληρωμής,</w:t>
      </w:r>
    </w:p>
    <w:p>
      <w:pPr>
        <w:pStyle w:val="StructureList1"/>
        <w:spacing w:before="120" w:after="0"/>
        <w:rPr>
          <w:lang w:val="el" w:eastAsia="el"/>
        </w:rPr>
      </w:pPr>
      <w:r>
        <w:rPr>
          <w:lang w:val="el" w:eastAsia="el"/>
        </w:rPr>
        <w:t>γ)</w:t>
      </w:r>
      <w:r>
        <w:rPr>
          <w:lang w:val="en" w:eastAsia="en"/>
        </w:rPr>
        <w:tab/>
      </w:r>
      <w:r>
        <w:rPr>
          <w:lang w:val="el" w:eastAsia="el"/>
        </w:rPr>
        <w:t>αναλυτική λογιστική αποτύπωση του έργου στα συστήματα ή βιβλία της εταιρείας, όπως αυτή προκύπτει από τους λογαριασμούς λογιστικής ή τα κέντρα κόστους ή τις εντολές εργασίας ή από άλλα πρόσφορα μέσα που χρησιμοποιεί η εταιρία ανά κατηγορία δαπάνης στην περίπτωση τήρησης διπλογραφικών βιβλίων ή αντίγραφο του βιβλίου εσόδων-εξόδων στην περίπτωση τήρησης απλογραφικών βιβλίων, υπογεγραμμένα από τον υπεύθυνο τήρησης της λογιστικής απεικόνισης.</w:t>
      </w:r>
    </w:p>
    <w:p>
      <w:pPr>
        <w:spacing w:before="240" w:after="240"/>
        <w:rPr>
          <w:lang w:val="el" w:eastAsia="el"/>
        </w:rPr>
      </w:pPr>
      <w:r>
        <w:rPr>
          <w:lang w:val="el" w:eastAsia="el"/>
        </w:rPr>
        <w:t>3) Έκθεση ελέγχου, υπογεγραμμένη από ορκωτό ελεγκτή - λογιστή ή ελεγκτική εταιρεία, σύμφωνα με την παρ. 1 του παρόντος άρθρου.</w:t>
      </w:r>
    </w:p>
    <w:p>
      <w:pPr>
        <w:spacing w:before="240" w:after="240"/>
        <w:rPr>
          <w:lang w:val="el" w:eastAsia="el"/>
        </w:rPr>
      </w:pPr>
      <w:r>
        <w:rPr>
          <w:lang w:val="el" w:eastAsia="el"/>
        </w:rPr>
        <w:t>Στην έκθεση θα πρέπει να πιστοποιούνται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H πραγματοποίηση των δαπανών ανά κατηγορία δαπάνης (επιλεξιμότητα δαπανών) και εντός των χρονικών ορίων που έχουν τεθεί από την παρούσα.</w:t>
      </w:r>
    </w:p>
    <w:p>
      <w:pPr>
        <w:pStyle w:val="StructureList1"/>
        <w:spacing w:before="120" w:after="0"/>
        <w:rPr>
          <w:lang w:val="el" w:eastAsia="el"/>
        </w:rPr>
      </w:pPr>
      <w:r>
        <w:rPr>
          <w:lang w:val="el" w:eastAsia="el"/>
        </w:rPr>
        <w:t>β)</w:t>
      </w:r>
      <w:r>
        <w:rPr>
          <w:lang w:val="en" w:eastAsia="en"/>
        </w:rPr>
        <w:tab/>
      </w:r>
      <w:r>
        <w:rPr>
          <w:lang w:val="el" w:eastAsia="el"/>
        </w:rPr>
        <w:t>Η τήρηση της σχετικής νομοθεσίας για την πραγματοποίηση των βεβαιωμένων δαπανών.</w:t>
      </w:r>
    </w:p>
    <w:p>
      <w:pPr>
        <w:pStyle w:val="StructureList1"/>
        <w:spacing w:before="120" w:after="0"/>
        <w:rPr>
          <w:lang w:val="el" w:eastAsia="el"/>
        </w:rPr>
      </w:pPr>
      <w:r>
        <w:rPr>
          <w:lang w:val="el" w:eastAsia="el"/>
        </w:rPr>
        <w:t>γ)</w:t>
      </w:r>
      <w:r>
        <w:rPr>
          <w:lang w:val="en" w:eastAsia="en"/>
        </w:rPr>
        <w:tab/>
      </w:r>
      <w:r>
        <w:rPr>
          <w:lang w:val="el" w:eastAsia="el"/>
        </w:rPr>
        <w:t>Η μοναδικότητα δήλωσης των βεβαιωμένων δαπανών στο πλαίσιο του Έργου Ε&amp;Α ή του Επενδυτικού Σχεδίου και το γεγονός ότι οι συγκεκριμένες δαπάνες δεν έχουν δηλωθεί στο πλαίσιο άλλου επιδοτούμενου έργου από το ελληνικό Δημόσιο ή/και στο πλαίσιο του καθεστώτος φοροαπαλλαγών για την εκτέλεση ερευνητικών και τεχνολογικών προγραμμάτων ή αναπτυξιακού νόμου, η οποία θα συνοδεύεται από υπεύθυνη δήλωση, του άρθρου 8 του ν. 1599/1986, υπογεγραμμένη νομίμως από το Δικαιούχο.</w:t>
      </w:r>
    </w:p>
    <w:p>
      <w:pPr>
        <w:pStyle w:val="StructureList1"/>
        <w:spacing w:before="120" w:after="0"/>
        <w:rPr>
          <w:lang w:val="el" w:eastAsia="el"/>
        </w:rPr>
      </w:pPr>
      <w:r>
        <w:rPr>
          <w:lang w:val="el" w:eastAsia="el"/>
        </w:rPr>
        <w:t>δ)</w:t>
      </w:r>
      <w:r>
        <w:rPr>
          <w:lang w:val="en" w:eastAsia="en"/>
        </w:rPr>
        <w:tab/>
      </w:r>
      <w:r>
        <w:rPr>
          <w:lang w:val="el" w:eastAsia="el"/>
        </w:rPr>
        <w:t>Η νομιμότητα και η κανονικότητα της έκδοσης και εξόφλησης κάθε τιμολογίου/παραστατικού.</w:t>
      </w:r>
    </w:p>
    <w:p>
      <w:pPr>
        <w:pStyle w:val="StructureList1"/>
        <w:spacing w:before="120" w:after="0"/>
        <w:rPr>
          <w:lang w:val="el" w:eastAsia="el"/>
        </w:rPr>
      </w:pPr>
      <w:r>
        <w:rPr>
          <w:lang w:val="el" w:eastAsia="el"/>
        </w:rPr>
        <w:t>ε)</w:t>
      </w:r>
      <w:r>
        <w:rPr>
          <w:lang w:val="en" w:eastAsia="en"/>
        </w:rPr>
        <w:tab/>
      </w:r>
      <w:r>
        <w:rPr>
          <w:lang w:val="el" w:eastAsia="el"/>
        </w:rPr>
        <w:t>Η τήρηση ξεχωριστής λογιστικής αποτύπωσης του Έργου Ε&amp;Α ή Επενδυτικού Σχεδίου στα συστήματα ή βιβλία της εταιρείας μέσω λογαριασμών λογιστικής ή κέντρων κόστους ή εντολών εργασίας ή άλλου πρόσφορου μέσου.</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δικαιούχου για τις προκαταβολές και δόσεις που έχουν πραγματοποιηθεί εντός της περιόδου και για την ημερομηνία παραγγελίας ή συμβασιοποίησης της δαπάνης, σύμφωνα με την παρ. 3 του άρθρο 4 της παρούσας, καθώς και της τήρησης των συντελεστών αποσβέσεων, σύμφωνα με την παρ. 1 του άρθρου 4 της παρούσας και του ν. 4172/2013.</w:t>
      </w:r>
    </w:p>
    <w:p>
      <w:pPr>
        <w:pStyle w:val="StructureList1"/>
        <w:spacing w:before="120" w:after="0"/>
        <w:rPr>
          <w:lang w:val="el" w:eastAsia="el"/>
        </w:rPr>
      </w:pPr>
      <w:r>
        <w:rPr>
          <w:lang w:val="el" w:eastAsia="el"/>
        </w:rPr>
        <w:t>ζ)</w:t>
      </w:r>
      <w:r>
        <w:rPr>
          <w:lang w:val="en" w:eastAsia="en"/>
        </w:rPr>
        <w:tab/>
      </w:r>
      <w:r>
        <w:rPr>
          <w:lang w:val="el" w:eastAsia="el"/>
        </w:rPr>
        <w:t>για τα έργα Ε&amp;Α και τα επενδυτικά σχέδια τα δικαιολογητικά τεκμηρίωσης του μεγέθους του δικαιούχου [Υπεύθυνη δήλωση του μεγέθους της εταιρείας σε συμφωνία με τον κανονισμό ΕΕ 651/2014, δήλωση Στοιχείων Επιχείρησης σχετικά με την ιδιότητά της ως Μικρομεσαία Επιχείρηση (ΜΜΕ)] ενώ για τα επενδυτικά έργα βεβαίωση του τόπου εγκατάστασης της επένδυσης (βεβαίωση από την εφορία για τον τόπο εγκατάστασης) και του Κωδικού Αριθμού Δραστηριότητας ΚΑΔ καθώς και υπεύθυνη δήλωση του δικαιούχου για την συμμετοχή του με βάση την παρ. 6 του άρθρου 5.</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δικαιούχου με τεκμηρίωση ότι η επιχείρηση δεν είναι προβληματική σύμφωνα με τα οριζόμενα στην παρ. 18 του άρθρου 2 του ΓΑΚ. Η εξέταση μίας επιχείρησης για να διαπιστωθεί εάν αυτή είναι προβληματική, γίνεται τόσο σε επίπεδο αιτούσας επιχείρησης όσο και σε επίπεδο ενιαίας επιχείρησης (αιτούσα επιχείρηση και τυχόν συνδεδεμένες με αυτήν επιχειρήσεις), ανεξάρτητα εάν υφίσταται για αυτές υποχρέωση σύνταξης ενοποιημένων οικονομικών καταστάσεων), κατ' εφαρμογήν των υπό στοιχεία 42649/ EYKE5351/10.04.2017 και 122645/EYKE2260/27.11.2019 σχετικών εγγράφων της Ειδικής Υπηρεσίας Κρατικών Ενισχύσεων / ΕΥΚΕ, με τα οποία παρέχονται διευκρινίσεις και δικαιολογητικά για το χαρακτηρισμό μιας επιχείρησης ως προβληματική.</w:t>
      </w:r>
    </w:p>
    <w:p>
      <w:pPr>
        <w:pStyle w:val="StructureList1"/>
        <w:spacing w:before="120" w:after="0"/>
        <w:rPr>
          <w:lang w:val="el" w:eastAsia="el"/>
        </w:rPr>
      </w:pPr>
      <w:r>
        <w:rPr>
          <w:lang w:val="el" w:eastAsia="el"/>
        </w:rPr>
        <w:t>θ)</w:t>
      </w:r>
      <w:r>
        <w:rPr>
          <w:lang w:val="en" w:eastAsia="en"/>
        </w:rPr>
        <w:tab/>
      </w:r>
      <w:r>
        <w:rPr>
          <w:lang w:val="el" w:eastAsia="el"/>
        </w:rPr>
        <w:t>Υπεύθυνη δήλωση ότι δεν εκκρεμεί σε βάρος του δικαιούχου διαταγή ανάκτησης, κατόπιν προηγούμενης απόφασης της Ευρωπαϊκής Επιτροπής (ΕΕ), με την οποία μία ενίσχυση κηρύσσεται παράνομη και ασυμβίβαστη.</w:t>
      </w:r>
    </w:p>
    <w:p>
      <w:pPr>
        <w:pStyle w:val="StructureList1"/>
        <w:spacing w:before="120" w:after="0"/>
        <w:rPr>
          <w:lang w:val="el" w:eastAsia="el"/>
        </w:rPr>
      </w:pPr>
      <w:r>
        <w:rPr>
          <w:lang w:val="el" w:eastAsia="el"/>
        </w:rPr>
        <w:t>ι)</w:t>
      </w:r>
      <w:r>
        <w:rPr>
          <w:lang w:val="en" w:eastAsia="en"/>
        </w:rPr>
        <w:tab/>
      </w:r>
      <w:r>
        <w:rPr>
          <w:lang w:val="el" w:eastAsia="el"/>
        </w:rPr>
        <w:t>Υπεύθυνη δήλωση του δικαιούχου δια της οποίας θα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θα δεσμεύεται ότι δεν θα το πράξει εντός μέγιστης περιόδου δύο ετών μετά την ολοκλήρωση της αρχικής επένδυσης για την οποία ζητείται η ενίσχυση (παρ. 16 του άρθρου 14).</w:t>
      </w:r>
    </w:p>
    <w:p>
      <w:pPr>
        <w:pStyle w:val="StructureList1"/>
        <w:spacing w:before="120" w:after="0"/>
        <w:rPr>
          <w:lang w:val="el" w:eastAsia="el"/>
        </w:rPr>
      </w:pPr>
      <w:r>
        <w:rPr>
          <w:lang w:val="el" w:eastAsia="el"/>
        </w:rPr>
        <w:t>ια)</w:t>
      </w:r>
      <w:r>
        <w:rPr>
          <w:lang w:val="en" w:eastAsia="en"/>
        </w:rPr>
        <w:tab/>
      </w:r>
      <w:r>
        <w:rPr>
          <w:lang w:val="el" w:eastAsia="el"/>
        </w:rPr>
        <w:t>στην περίπτωση που ο δικαιούχος έχει υποβάλει, στο πλαίσιο της παρούσης, αίτηση πιστοποίησης δαπανών για συμψηφισμό clawback σε προηγούμενη περίοδο από την περίοδο αναφοράς και πάντως μετά την υποβολή αιτήματος ενίσχυσης, έχοντας δηλώσει προκαταβολές για έργο Ε&amp;Α ή / και επενδυτικό σχέδιο, ελέγχονται τα τιμολόγια της περιόδου αναφοράς τα οποία πρέπει να συμψηφίζουν εν μέρει ή εν όλω τις προκαταβολές της προηγούμενης περιόδου, σύμφωνα με τα οριζόμενα στην παρ. 3 του άρθρου 4 της παρούσης.</w:t>
      </w:r>
    </w:p>
    <w:p>
      <w:pPr>
        <w:spacing w:before="240" w:after="240"/>
        <w:rPr>
          <w:lang w:val="el" w:eastAsia="el"/>
        </w:rPr>
      </w:pPr>
      <w:r>
        <w:rPr>
          <w:lang w:val="el" w:eastAsia="el"/>
        </w:rPr>
        <w:t>Σε περίπτωση που δεν τεκμηριώνεται η υλοποίηση του έργου με βάση τα τιμολόγια, αλλά και της βεβαίωσης του μηχανικού της παρ. 5 έως και την τελευταία πιστοποίηση δαπανών της περιόδου 01.01.2023-31.12.2023, ο δικαιούχος επιστρέφει εντόκως το αντίστοιχο ποσό που του έχει συμψηφιστεί τα προηγούμενα έτη από τις προκαταβολές.</w:t>
      </w:r>
    </w:p>
    <w:p>
      <w:pPr>
        <w:spacing w:before="240" w:after="240"/>
        <w:rPr>
          <w:lang w:val="el" w:eastAsia="el"/>
        </w:rPr>
      </w:pPr>
      <w:r>
        <w:rPr>
          <w:lang w:val="el" w:eastAsia="el"/>
        </w:rPr>
        <w:t>4) τα δικαιολογητικά τεκμηρίωσης ότι ο δικαιούχος είναι ενήμερος φορολογικά, ασφαλιστικά και ως προς τις οφειλές clawback και rebate, με βάση της παρ. 3 το άρθρο 1 της παρούσας, κατά την ημερομηνία της αίτησης.</w:t>
      </w:r>
    </w:p>
    <w:p>
      <w:pPr>
        <w:pStyle w:val="MainText"/>
        <w:spacing w:before="120" w:after="0"/>
        <w:rPr>
          <w:lang w:val="el" w:eastAsia="el"/>
        </w:rPr>
      </w:pPr>
      <w:r>
        <w:rPr>
          <w:b/>
          <w:bCs/>
          <w:lang w:val="el" w:eastAsia="el"/>
        </w:rPr>
        <w:t>3.</w:t>
      </w:r>
      <w:r>
        <w:rPr>
          <w:lang w:val="el" w:eastAsia="el"/>
        </w:rPr>
        <w:t xml:space="preserve"> Για την πιστοποίηση του φυσικού αντικειμένου του Έργου Ε&amp;Α ή του Επενδυτικού Σχεδίου, υποβάλλονται τα ακόλουθα:</w:t>
      </w:r>
    </w:p>
    <w:p>
      <w:pPr>
        <w:spacing w:before="240" w:after="240"/>
        <w:rPr>
          <w:lang w:val="el" w:eastAsia="el"/>
        </w:rPr>
      </w:pPr>
      <w:r>
        <w:rPr>
          <w:lang w:val="el" w:eastAsia="el"/>
        </w:rPr>
        <w:t>1) σχετική έκθεση από το δικαιούχο, στην οποία τεκμηριώνονται:</w:t>
      </w:r>
    </w:p>
    <w:p>
      <w:pPr>
        <w:pStyle w:val="StructureList1"/>
        <w:spacing w:before="120" w:after="0"/>
        <w:rPr>
          <w:lang w:val="el" w:eastAsia="el"/>
        </w:rPr>
      </w:pPr>
      <w:r>
        <w:rPr>
          <w:lang w:val="el" w:eastAsia="el"/>
        </w:rPr>
        <w:t>α)</w:t>
      </w:r>
      <w:r>
        <w:rPr>
          <w:lang w:val="en" w:eastAsia="en"/>
        </w:rPr>
        <w:tab/>
      </w:r>
      <w:r>
        <w:rPr>
          <w:lang w:val="el" w:eastAsia="el"/>
        </w:rPr>
        <w:t>οι ενέργειες και τα παραδοτέα του έργου σε αντιστοιχία με την αίτηση ενίσχυσης του άρθρου 3 του δικαιούχου για την περίοδο αναφοράς,</w:t>
      </w:r>
    </w:p>
    <w:p>
      <w:pPr>
        <w:pStyle w:val="StructureList1"/>
        <w:spacing w:before="120" w:after="0"/>
        <w:rPr>
          <w:lang w:val="el" w:eastAsia="el"/>
        </w:rPr>
      </w:pPr>
      <w:r>
        <w:rPr>
          <w:lang w:val="el" w:eastAsia="el"/>
        </w:rPr>
        <w:t>β)</w:t>
      </w:r>
      <w:r>
        <w:rPr>
          <w:lang w:val="en" w:eastAsia="en"/>
        </w:rPr>
        <w:tab/>
      </w:r>
      <w:r>
        <w:rPr>
          <w:lang w:val="el" w:eastAsia="el"/>
        </w:rPr>
        <w:t>η σύνθεση της ομάδας έργου για τα Έργα Ε&amp;Α.</w:t>
      </w:r>
    </w:p>
    <w:p>
      <w:pPr>
        <w:pStyle w:val="MainText"/>
        <w:spacing w:before="120" w:after="0"/>
        <w:rPr>
          <w:lang w:val="el" w:eastAsia="el"/>
        </w:rPr>
      </w:pPr>
      <w:r>
        <w:rPr>
          <w:b/>
          <w:bCs/>
          <w:lang w:val="el" w:eastAsia="el"/>
        </w:rPr>
        <w:t>4.</w:t>
      </w:r>
      <w:r>
        <w:rPr>
          <w:lang w:val="el" w:eastAsia="el"/>
        </w:rPr>
        <w:t xml:space="preserve"> Στην περίπτωση της παρ. 6 του άρθρου 4 σύμφωνα με την οποία τα Έργα Ε&amp;Α χρηματοδοτούνται από κοινού από θυγατρική ή/και μητρική επιχείρηση ή από συνδεδεμένες επιχειρήσεις, η βεβαίωση του ορκωτού ελεγκτή - λογιστή ή ελεγκτικής εταιρείας πρέπει να αφορά την δικαιούχο επιχείρηση που υποβάλλει το αίτημα και τις συνδεδεμένες καθ' οιονδήποτε τρόπο με αυτή που υλοποίησαν το έργο Ε&amp;Α.</w:t>
      </w:r>
    </w:p>
    <w:p>
      <w:pPr>
        <w:pStyle w:val="MainText"/>
        <w:spacing w:before="120" w:after="0"/>
        <w:rPr>
          <w:lang w:val="el" w:eastAsia="el"/>
        </w:rPr>
      </w:pPr>
      <w:r>
        <w:rPr>
          <w:b/>
          <w:bCs/>
          <w:lang w:val="el" w:eastAsia="el"/>
        </w:rPr>
        <w:t>5.</w:t>
      </w:r>
      <w:r>
        <w:rPr>
          <w:lang w:val="el" w:eastAsia="el"/>
        </w:rPr>
        <w:t xml:space="preserve"> Στην περίπτωση των Επενδυτικών Σχεδίων, και μόνο, βεβαίωση υλοποίησης από μηχανικό, ειδικότητας πολιτικού μηχανικού ή/και μηχανολόγου μηχανικού ή άλλης επαγγελματικής ειδικότητας πρόσωπο ανάλογα με το είδος του Επενδυτικού Σχεδίου. Η βεβαίωση αφορά τις δαπάνες της περιόδου αναφοράς αλλά και τις προκαταβολές των προηγούμενων περιόδων, της παρούσης, όπως αναφέρονται και στην βεβαίωση του ορκωτού ελεγκτή της παρ. 3κ) της παρούσης.</w:t>
      </w:r>
    </w:p>
    <w:p>
      <w:pPr>
        <w:pStyle w:val="MainText"/>
        <w:spacing w:before="120" w:after="0"/>
        <w:rPr>
          <w:lang w:val="el" w:eastAsia="el"/>
        </w:rPr>
      </w:pPr>
      <w:r>
        <w:rPr>
          <w:b/>
          <w:bCs/>
          <w:lang w:val="el" w:eastAsia="el"/>
        </w:rPr>
        <w:t>6.</w:t>
      </w:r>
      <w:r>
        <w:rPr>
          <w:lang w:val="el" w:eastAsia="el"/>
        </w:rPr>
        <w:t xml:space="preserve"> Τα δικαιολογητικά του παρόντος, συντάσσονται και υποβάλλονται στην ελληνική γλώσσα και πρέπει να υποβληθούν σύμφωνα με τις διατάξεις του ν. 4250/2014 (Α'94)</w:t>
      </w:r>
    </w:p>
    <w:p>
      <w:pPr>
        <w:pStyle w:val="MainText"/>
        <w:spacing w:before="120" w:after="0"/>
        <w:rPr>
          <w:lang w:val="el" w:eastAsia="el"/>
        </w:rPr>
      </w:pPr>
      <w:r>
        <w:rPr>
          <w:b/>
          <w:bCs/>
          <w:lang w:val="el" w:eastAsia="el"/>
        </w:rPr>
        <w:t>7.</w:t>
      </w:r>
      <w:r>
        <w:rPr>
          <w:lang w:val="el" w:eastAsia="el"/>
        </w:rPr>
        <w:t xml:space="preserve"> Ο έλεγχος και η πιστοποίηση του φυσικού και του οικονομικού αντικειμένου των Έργων Ε&amp;Α και των Επενδυτικών Σχεδίων διενεργείται από Επιτροπές Πιστοποίησης οι οποίες συνίστανται και συγκροτούνται με απόφαση του Γενικού Γραμματέα Έρευνας και Καινοτομίας. Οι Επιτροπές Πιστοποίησης λειτουργούν εκτός του κανονικού ωραρίου εργασίας και μπορούν να είναι αμειβόμενες από πόρους του Προγράμματος Δημοσίων Επενδύσεων ή άλλους πόρους πέραν του τακτικού προϋπολογισμού. Οι Επιτροπές είναι τριμελείς και στελεχώνονται από έναν εμπειρογνώμονα εξειδικευμένο στον τομέα του αξιολογούμενου αιτήματος συμψηφισμού, για τον έλεγχο του φυσικού αντικειμένου, ο οποίος θα επιλέγεται από το Μητρώο Πιστοποιητών - Αξιολογητών που τηρείται στη Γενική Γραμματεία Έρευνας και Καινοτομίας (Γ.Γ.Ε.Κ.), είτε από επιστήμονα της ημεδαπής ή της αλλοδαπής που δεν περιλαμβάνεται στο Μητρώο Πιστοποιημένων Αξιολογητών/ΜΠΑ της Γ.Γ.Ε.Κ., στις περιπτώσεις που δεν καλύπτονται πλήρως οι ανάγκες της συγκεκριμένης πιστοποίησης από τους εγγεγραμμένους Πιστοποιητές-Αξιολογητές στο ΜΠΑ, για τον έλεγχο του φυσικού αντικειμένου και δυο υπαλλήλους της Γενικής Γραμματείας Έρευνας και Καινοτομίας ή εμπειρογνώμονες από το Μητρώο Πιστοποιητών - Αξιολογητών που τηρείται στη Γ.Γ.Ε.Κ. για τον έλεγχο του οικονομικού αντικειμένου.</w:t>
      </w:r>
    </w:p>
    <w:p>
      <w:pPr>
        <w:pStyle w:val="MainText"/>
        <w:spacing w:before="120" w:after="0"/>
        <w:rPr>
          <w:lang w:val="el" w:eastAsia="el"/>
        </w:rPr>
      </w:pPr>
      <w:r>
        <w:rPr>
          <w:b/>
          <w:bCs/>
          <w:lang w:val="el" w:eastAsia="el"/>
        </w:rPr>
        <w:t>8.</w:t>
      </w:r>
      <w:r>
        <w:rPr>
          <w:lang w:val="el" w:eastAsia="el"/>
        </w:rPr>
        <w:t xml:space="preserve"> Οι ανωτέρω οριζόμενες Επιτροπές δύνανται να πραγματοποιούν επιτόπιες επαληθεύσεις του φυσικού και του οικονομικού αντικειμένου στις εγκαταστάσεις του δικαιούχου.</w:t>
      </w:r>
    </w:p>
    <w:p>
      <w:pPr>
        <w:pStyle w:val="MainText"/>
        <w:spacing w:before="120" w:after="0"/>
        <w:rPr>
          <w:lang w:val="el" w:eastAsia="el"/>
        </w:rPr>
      </w:pPr>
      <w:r>
        <w:rPr>
          <w:b/>
          <w:bCs/>
          <w:lang w:val="el" w:eastAsia="el"/>
        </w:rPr>
        <w:t>9.</w:t>
      </w:r>
      <w:r>
        <w:rPr>
          <w:lang w:val="el" w:eastAsia="el"/>
        </w:rPr>
        <w:t xml:space="preserve"> Οι Επιτροπές Πιστοποίησης Δαπανών ολοκληρώνουν το έργο τους με την υποβολή στην Υπηρεσία έκθεσης πιστοποίησης φυσικού και οικονομικού αντικειμένου, προς έγκριση από τον Γενικό Γραμματέα Έρευνας και Καινοτομίας.</w:t>
      </w:r>
    </w:p>
    <w:p>
      <w:pPr>
        <w:pStyle w:val="MainText"/>
        <w:spacing w:before="120" w:after="0"/>
        <w:rPr>
          <w:lang w:val="el" w:eastAsia="el"/>
        </w:rPr>
      </w:pPr>
      <w:r>
        <w:rPr>
          <w:b/>
          <w:bCs/>
          <w:lang w:val="el" w:eastAsia="el"/>
        </w:rPr>
        <w:t>10.</w:t>
      </w:r>
      <w:r>
        <w:rPr>
          <w:lang w:val="el" w:eastAsia="el"/>
        </w:rPr>
        <w:t xml:space="preserve"> Μετά την ολοκλήρωση της ως άνω διαδικασίας,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και στον ΕΟΠΥΥ. Με την παραλαβή του εντύπου της επιβολής clawback από τον ΕΟΠΠΥ ή/και το Υπουργείο Υγείας, οι δικαιούχοι, εντός δέκα (10) ημερών, καταθέτουν την βεβαίωση της Γ.Γ.Ε.Κ. στον ΕΟΠΥΥ ή/και την Διεύθυνση Οικονομικών Υπηρεσιών του Υπουργείου Υγείας ανάλογα με το είδος clawback (εξωνοσοκομειακό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μετά την υποβολή της προς το Υπουργείο Υγείας και τον ΕΟΠΥΥ δεν επιδέχεται μεταβολής ως προς τα επιλεγόμενα ποσά συμψηφισμού από τον δικαιούχο έναντι του αντίστοιχου αποδέκτη της δήλωσης συμψηφισμού (Υπουργείο Υγείας ή / και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την βεβαίωση της Γενικής Γραμματείας Έρευνας και Καινοτομίας. 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μετά το πέρας της αποκλειστικής προθεσμίας των δέκα (10) ημερών, η Γενική Διεύθυνση του Υπουργείου Υγείας θα προχωρήσει στον συμψηφισμό του ποσού βεβαίωσης της Γ.Γ.Ε.Κ.,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βεβαίωσής της.</w:t>
      </w:r>
    </w:p>
    <w:p>
      <w:pPr>
        <w:pStyle w:val="MainText"/>
        <w:spacing w:before="120" w:after="0"/>
        <w:rPr>
          <w:lang w:val="el" w:eastAsia="el"/>
        </w:rPr>
      </w:pPr>
      <w:r>
        <w:rPr>
          <w:b/>
          <w:bCs/>
          <w:lang w:val="el" w:eastAsia="el"/>
        </w:rPr>
        <w:t>11.</w:t>
      </w:r>
      <w:r>
        <w:rPr>
          <w:lang w:val="el" w:eastAsia="el"/>
        </w:rPr>
        <w:t xml:space="preserve"> 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για την περίοδο αναφοράς, είτε η ΓΔΟΥ του Υπουργείου Υγείας μεριμνά για την ένταξη της σχετικής δαπάνης σε αντίστοιχο έργο. Τα νοσοκομεία της προαναφερόμενης παραγράφου και ο ΕΟΠΥΥ αφού ολοκληρώσουν την διαδικασία της έκδοσης πιστωτικών τιμολογίων από τους Δικαιούχους για τον καταλογισμό του clawback της περιόδου αναφοράς αποστέλλουν αίτημα χρηματοδότησης από το δεσμευμένο ποσό του επενδυτικού clawback στη Γενική Διεύθυνση Οικονομικών του Υπουργείου Υγείας ισόποσο με τη διαφορά που έχει προκύψει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ο ΕΟΠΥΥ και το Υπουργείο Υγείας εκδίδουν νέα σημειώματα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 της περιόδου αναφοράς. H Γενική Διεύθυνση Οικονομικών Υπηρεσιών του Υπουργείου Υγείας επιχορηγεί τον ΕΟΠΥΥ και τα νοσοκομεία με τα αντίστοιχα συνολικά ποσά βάσει των προαναφερόμενων.</w:t>
      </w:r>
    </w:p>
    <w:p>
      <w:pPr>
        <w:spacing w:before="240" w:after="240"/>
        <w:rPr>
          <w:lang w:val="el" w:eastAsia="el"/>
        </w:rPr>
      </w:pPr>
      <w:r>
        <w:rPr>
          <w:lang w:val="el" w:eastAsia="el"/>
        </w:rPr>
        <w:t>Οι υπαγόμενοι στην παρ. 8 του άρθρου 4 της παρούσης δικαιούχοι, με υπεύθυνη δήλωσή τους γνωστοποιούν αρμοδίως το ποσό που πρόκειται να συμψηφισθεί στα εξάμηνα κατ'έτος της περιόδου αναφοράς. Το εν λόγω ποσό προσαυξάνει τις συνολικές πιστώσεις που πρόκειται να διατεθεί ως επιχορήγηση στον ΕΟΠΥΥ και τα κρατικά νοσοκομεία.</w:t>
      </w:r>
    </w:p>
    <w:p>
      <w:pPr>
        <w:pStyle w:val="MainText"/>
        <w:spacing w:before="120" w:after="0"/>
        <w:rPr>
          <w:lang w:val="el" w:eastAsia="el"/>
        </w:rPr>
      </w:pPr>
      <w:r>
        <w:rPr>
          <w:b/>
          <w:bCs/>
          <w:lang w:val="el" w:eastAsia="el"/>
        </w:rPr>
        <w:t>12.</w:t>
      </w:r>
      <w:r>
        <w:rPr>
          <w:lang w:val="el" w:eastAsia="el"/>
        </w:rPr>
        <w:t xml:space="preserve"> Οι δικαιούχοι φέρουν την ευθύνη της πλήρους και ορθής συμπλήρωσης των αρχείων που συμπεριλαμβάνονται στο αίτημα για το χαρακτηρισμό των δαπανών ως Ε&amp;Α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συμψιφιστέου ποσού.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Προθεσμίες υποβολής αιτημάτων συμψηφισμού</w:t>
      </w:r>
    </w:p>
    <w:p>
      <w:pPr>
        <w:pStyle w:val="MainText"/>
        <w:spacing w:before="120" w:after="0"/>
        <w:rPr>
          <w:lang w:val="el" w:eastAsia="el"/>
        </w:rPr>
      </w:pPr>
      <w:r>
        <w:rPr>
          <w:b/>
          <w:bCs/>
          <w:lang w:val="el" w:eastAsia="el"/>
        </w:rPr>
        <w:t>1.</w:t>
      </w:r>
      <w:r>
        <w:rPr>
          <w:lang w:val="el" w:eastAsia="el"/>
        </w:rPr>
        <w:t xml:space="preserve"> Τα αιτήματα πιστοποίησης δαπανών και συμψηφισμού έργων Ε&amp;Α ή / και επενδυτικών σχεδίων για τα οποία οι δικαιούχοι έχουν αιτηθεί ενίσχυσης, υποβάλλονται στη Γενική Γραμματεία Έρευνας και Καινοτομίας του Υπουργείου Ανάπτυξης και Επενδύσεων, ως ακολούθως: </w:t>
      </w:r>
    </w:p>
    <w:p>
      <w:pPr>
        <w:spacing w:before="240" w:after="240"/>
        <w:rPr>
          <w:lang w:val="el" w:eastAsia="el"/>
        </w:rPr>
      </w:pPr>
      <w:r>
        <w:rPr>
          <w:lang w:val="el" w:eastAsia="el"/>
        </w:rPr>
        <w:t>Α) για την περίοδο 01.10.2021-30.06.2022 η υποβολή των αιτήσεων πιστοποίησης δαπανών και συμψηφισμού από τις εταιρείες έως 31.10.2022.</w:t>
      </w:r>
    </w:p>
    <w:p>
      <w:pPr>
        <w:spacing w:before="240" w:after="240"/>
        <w:rPr>
          <w:lang w:val="el" w:eastAsia="el"/>
        </w:rPr>
      </w:pPr>
      <w:r>
        <w:rPr>
          <w:lang w:val="el" w:eastAsia="el"/>
        </w:rPr>
        <w:t>Β) για την περίοδο 01.07.2022-31.12.2022 η υποβολή των αιτήσεων πιστοποίησης δαπανών και συμψηφισμού από τις εταιρείες έως 31.03.2023.</w:t>
      </w:r>
    </w:p>
    <w:p>
      <w:pPr>
        <w:spacing w:before="240" w:after="240"/>
        <w:rPr>
          <w:lang w:val="el" w:eastAsia="el"/>
        </w:rPr>
      </w:pPr>
      <w:r>
        <w:rPr>
          <w:lang w:val="el" w:eastAsia="el"/>
        </w:rPr>
        <w:t>Γ) για την περίοδο 01.01.2023-31.12.2023 η υποβολή των αιτήσεων πιστοποίησης δαπανών και συμψηφισμού από τις εταιρείες έως 31.03.2024.</w:t>
      </w:r>
    </w:p>
    <w:p>
      <w:pPr>
        <w:spacing w:before="240" w:after="240"/>
        <w:rPr>
          <w:lang w:val="el" w:eastAsia="el"/>
        </w:rPr>
      </w:pPr>
      <w:r>
        <w:rPr>
          <w:lang w:val="el" w:eastAsia="el"/>
        </w:rPr>
        <w:t>Για την έναρξη της υποβολής αιτημάτων πιστοποίησης εκάστης περιόδου η Γ.Γ.Ε.Κ. θα αναρτά στην ιστοσελίδα τη σχετική ανακοίνωση.</w:t>
      </w:r>
    </w:p>
    <w:p>
      <w:pPr>
        <w:spacing w:before="240" w:after="240"/>
        <w:rPr>
          <w:lang w:val="el" w:eastAsia="el"/>
        </w:rPr>
      </w:pPr>
      <w:r>
        <w:rPr>
          <w:lang w:val="el" w:eastAsia="el"/>
        </w:rPr>
        <w:t>Η Γ.Γ.Ε.Κ. εκδίδει τις βεβαιώσεις συμψηφισμού της περιόδου αναφοράς, εντός χρονικού διαστήματος, το οποίο προηγείται της ημερομηνίας υποβολής των δηλώσεων φορολογίας εισοδήματος της περιόδου αναφοράς των επιχειρήσεων.</w:t>
      </w:r>
    </w:p>
    <w:p>
      <w:pPr>
        <w:pStyle w:val="MainText"/>
        <w:spacing w:before="120" w:after="0"/>
        <w:rPr>
          <w:lang w:val="el" w:eastAsia="el"/>
        </w:rPr>
      </w:pPr>
      <w:r>
        <w:rPr>
          <w:b/>
          <w:bCs/>
          <w:lang w:val="el" w:eastAsia="el"/>
        </w:rPr>
        <w:t>2.</w:t>
      </w:r>
      <w:r>
        <w:rPr>
          <w:lang w:val="el" w:eastAsia="el"/>
        </w:rPr>
        <w:t xml:space="preserve"> Οι Επιτροπές Πιστοποίησης δύνανται να ζητήσουν διευκρινίσεις από τους δικαιούχους. Οι διευκρινίσεις πρέπει να παρέχονται εντός δεκαπέντε (15) ημερών από τη διατύπωση του αιτήματος των Επιτροπών. Εντός του χρονικού διαστήματος των δεκαπέντε ημερών πρέπει να πραγματοποιούνται και οι επιτόπιοι έλεγχοι, αν αυτό κριθεί απαραίτητο.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απόφασης έχουν εφαρμογή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ΓΠ. οικ. 80277/2021 27.12.2021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