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ΑΡ. ΦΕΚ:Β’ 5061/</w:t>
      </w:r>
    </w:p>
    <w:p>
      <w:pPr>
        <w:pStyle w:val="Title"/>
        <w:spacing w:before="120" w:after="360"/>
        <w:rPr>
          <w:lang w:val="el" w:eastAsia="el"/>
        </w:rPr>
      </w:pPr>
      <w:r>
        <w:rPr>
          <w:b/>
          <w:bCs/>
          <w:lang w:val="el" w:eastAsia="el"/>
        </w:rPr>
        <w:t>ΑΔΑ:6ΚΗ446ΜΠ3</w:t>
      </w:r>
    </w:p>
    <w:p>
      <w:pPr>
        <w:pStyle w:val="PreambelText"/>
        <w:spacing w:before="240" w:after="240"/>
        <w:rPr>
          <w:lang w:val="el" w:eastAsia="el"/>
        </w:rPr>
      </w:pPr>
      <w:r>
        <w:rPr>
          <w:lang w:val="el" w:eastAsia="el"/>
        </w:rPr>
        <w:t xml:space="preserve">1. </w:t>
      </w:r>
      <w:r>
        <w:rPr>
          <w:b/>
          <w:bCs/>
          <w:lang w:val="el" w:eastAsia="el"/>
        </w:rPr>
        <w:t>ΥΠΟΥΡΓΕΙΟ ΟΙΚΟΝΟΜΙΚΩΝ ΓΡΑΦΕΙΟ ΥΠΟΥΡΓΟΥ</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b/>
          <w:bCs/>
          <w:lang w:val="el" w:eastAsia="el"/>
        </w:rPr>
        <w:t>ι. ItNim nitYUYNZH ΦΟΡΟΛΟΓΙΚΗΣ ΔΙΟΙΚΗΣΗΣ</w:t>
      </w:r>
    </w:p>
    <w:p>
      <w:pPr>
        <w:pStyle w:val="PreambelText"/>
        <w:spacing w:before="240" w:after="240"/>
        <w:rPr>
          <w:lang w:val="el" w:eastAsia="el"/>
        </w:rPr>
      </w:pPr>
      <w:r>
        <w:rPr>
          <w:lang w:val="el" w:eastAsia="el"/>
        </w:rPr>
        <w:t xml:space="preserve">1 </w:t>
      </w:r>
      <w:r>
        <w:rPr>
          <w:b/>
          <w:bCs/>
          <w:lang w:val="el" w:eastAsia="el"/>
        </w:rPr>
        <w:t>. 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2 </w:t>
      </w:r>
      <w:r>
        <w:rPr>
          <w:b/>
          <w:bCs/>
          <w:lang w:val="el" w:eastAsia="el"/>
        </w:rPr>
        <w:t>.ΔΙΕΥΘΥΝΣΗ ΕΛΕΓΧΩΝ</w:t>
      </w:r>
    </w:p>
    <w:p>
      <w:pPr>
        <w:pStyle w:val="Heading1"/>
        <w:spacing w:before="240" w:after="240"/>
        <w:rPr>
          <w:lang w:val="el" w:eastAsia="el"/>
        </w:rPr>
      </w:pPr>
      <w:r>
        <w:rPr>
          <w:b/>
          <w:bCs/>
          <w:lang w:val="el" w:eastAsia="el"/>
        </w:rPr>
        <w:t>ΤΜΗΜΑ: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 xml:space="preserve">Καρ.Σερβίας 10 10184 Αθήνα 210-3375000 </w:t>
      </w:r>
      <w:hyperlink r:id="rId4" w:history="1">
        <w:r>
          <w:rPr>
            <w:rStyle w:val="Hyperlink"/>
            <w:b/>
            <w:bCs/>
            <w:color w:val="0000EE"/>
            <w:u w:color="0000EE"/>
            <w:lang w:val="el" w:eastAsia="el"/>
          </w:rPr>
          <w:t>deaf.b@aade.gr</w:t>
        </w:r>
      </w:hyperlink>
    </w:p>
    <w:p>
      <w:pPr>
        <w:spacing w:before="240" w:after="240"/>
        <w:rPr>
          <w:lang w:val="el" w:eastAsia="el"/>
        </w:rPr>
      </w:pPr>
      <w:r>
        <w:rPr>
          <w:b/>
          <w:bCs/>
          <w:lang w:val="el" w:eastAsia="el"/>
        </w:rPr>
        <w:t>ΘΕΜΑ: «Διαδικασία απόδοσης του φόρου πώλησης της περ. δ’ της παρ.2 του άρθρου 9 του ν.2579/1998 (Α’ 31) από το Κεντρικό Αποθετήριο Τίτλων (Κ.Α.Τ.) προς την αρμόδια για τη φορολογία του Δημόσια Οικονομική Υπηρεσία (Δ.Ο.Υ.) - Τύπος και περιεχόμενο της δήλωσης απόδοσης του φόρου από το Κεντρικό Αποθετήριο Τίτλων στην αρμόδια για τη φορολογία του Δ.Ο.Υ. – Τύπος και περιεχόμενο της δήλωσης καταβολής φόρου προς το Κ.Α.Τ. – Διαδικασία συλλογής του φόρου από το Κ.Α.Τ.»</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ΚΑΙ 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 της περ. δ΄ της παρ. 2 του άρθρου 9 του ν.2579/1998 «Φορολογικές διαρρυθμίσεις και άλλες διατάξεις.» ( Α΄ 31).</w:t>
      </w:r>
    </w:p>
    <w:p>
      <w:pPr>
        <w:spacing w:before="240" w:after="240"/>
        <w:rPr>
          <w:lang w:val="el" w:eastAsia="el"/>
        </w:rPr>
      </w:pPr>
      <w:r>
        <w:rPr>
          <w:lang w:val="el" w:eastAsia="el"/>
        </w:rPr>
        <w:t xml:space="preserve">2. </w:t>
      </w:r>
      <w:r>
        <w:rPr>
          <w:b/>
          <w:bCs/>
          <w:lang w:val="el" w:eastAsia="el"/>
        </w:rPr>
        <w:t>Τις διατάξεις της παρ. 1 του άρθρου 29 και της παρ. 3 του άρθρου 30 του ν.4569/2018 «I) Κεντρικά Αποθετήρια Τίτλων, II) Προσαρμογή της Ελληνικής Νομοθεσίας στις διατάξεις της Οδηγίας (ΕΕ) 2016/2258 και άλλες διατάξεις και ΙΙΙ) Λοιπές διατάξεις» ( Α΄ 179).</w:t>
      </w:r>
    </w:p>
    <w:p>
      <w:pPr>
        <w:spacing w:before="240" w:after="240"/>
        <w:rPr>
          <w:lang w:val="el" w:eastAsia="el"/>
        </w:rPr>
      </w:pPr>
      <w:r>
        <w:rPr>
          <w:lang w:val="el" w:eastAsia="el"/>
        </w:rPr>
        <w:t xml:space="preserve">3. </w:t>
      </w:r>
      <w:r>
        <w:rPr>
          <w:b/>
          <w:bCs/>
          <w:lang w:val="el" w:eastAsia="el"/>
        </w:rPr>
        <w:t>Τις διατάξεις του άρθρου 2 του ν.4569/2018 «I) Κεντρικά Αποθετήρια Τίτλων, II) Προσαρμογή της Ελληνικής Νομοθεσίας στις διατάξεις της Οδηγίας (ΕΕ) 2016/2258 και άλλες διατάξεις και ΙΙΙ) Λοιπές διατάξεις» αναφορικά με τον ορισμό της έννοιας του εγγεγραμμένου διαμεσολαβητή.</w:t>
      </w:r>
    </w:p>
    <w:p>
      <w:pPr>
        <w:spacing w:before="240" w:after="240"/>
        <w:rPr>
          <w:lang w:val="el" w:eastAsia="el"/>
        </w:rPr>
      </w:pPr>
      <w:r>
        <w:rPr>
          <w:lang w:val="el" w:eastAsia="el"/>
        </w:rPr>
        <w:t xml:space="preserve">4. </w:t>
      </w:r>
      <w:r>
        <w:rPr>
          <w:b/>
          <w:bCs/>
          <w:lang w:val="el" w:eastAsia="el"/>
        </w:rPr>
        <w:t>Τις διατάξεις του άρθρου 2 της Οδηγίας 98/26/ΕΚ του Ευρωπαϊκού Κοινοβουλίου και του Συμβουλίου της 19</w:t>
      </w:r>
      <w:r>
        <w:rPr>
          <w:b/>
          <w:bCs/>
          <w:sz w:val="30"/>
          <w:szCs w:val="30"/>
          <w:vertAlign w:val="superscript"/>
          <w:lang w:val="el" w:eastAsia="el"/>
        </w:rPr>
        <w:t>ης</w:t>
      </w:r>
      <w:r>
        <w:rPr>
          <w:b/>
          <w:bCs/>
          <w:lang w:val="el" w:eastAsia="el"/>
        </w:rPr>
        <w:t xml:space="preserve"> Μαΐου 1998 σχετικά µε το αµετάκλητο του διακανονισµού στα συστήµατα πληρωµών και στα συστήµατα διακανονισµού αξιογράφων αναφορικά με το ορισμό της έννοιας του συμμετέχοντα.</w:t>
      </w:r>
    </w:p>
    <w:p>
      <w:pPr>
        <w:spacing w:before="240" w:after="240"/>
        <w:rPr>
          <w:lang w:val="el" w:eastAsia="el"/>
        </w:rPr>
      </w:pPr>
      <w:r>
        <w:rPr>
          <w:lang w:val="el" w:eastAsia="el"/>
        </w:rPr>
        <w:t xml:space="preserve">5. </w:t>
      </w:r>
      <w:r>
        <w:rPr>
          <w:b/>
          <w:bCs/>
          <w:lang w:val="el" w:eastAsia="el"/>
        </w:rPr>
        <w:t>Τις διατάξεις του ν.4174/2013 «Φορολογικές Διαδικασίες και άλλες διατάξεις.» ( Α΄ 170)</w:t>
      </w:r>
    </w:p>
    <w:p>
      <w:pPr>
        <w:spacing w:before="240" w:after="240"/>
        <w:rPr>
          <w:lang w:val="el" w:eastAsia="el"/>
        </w:rPr>
      </w:pPr>
      <w:r>
        <w:rPr>
          <w:lang w:val="el" w:eastAsia="el"/>
        </w:rPr>
        <w:t xml:space="preserve">6. </w:t>
      </w:r>
      <w:r>
        <w:rPr>
          <w:b/>
          <w:bCs/>
          <w:lang w:val="el" w:eastAsia="el"/>
        </w:rPr>
        <w:t>Τις διατάξεις του Κώδικος Εισπράξεως Δημοσίων Εσόδων (ν.δ.</w:t>
      </w:r>
      <w:r>
        <w:rPr>
          <w:rStyle w:val="link"/>
          <w:b/>
          <w:bCs/>
          <w:lang w:val="el" w:eastAsia="el"/>
        </w:rPr>
        <w:t>356/1974</w:t>
      </w:r>
      <w:r>
        <w:rPr>
          <w:b/>
          <w:bCs/>
          <w:lang w:val="el" w:eastAsia="el"/>
        </w:rPr>
        <w:t>, Α' 90).</w:t>
      </w:r>
    </w:p>
    <w:p>
      <w:pPr>
        <w:spacing w:before="240" w:after="240"/>
        <w:rPr>
          <w:lang w:val="el" w:eastAsia="el"/>
        </w:rPr>
      </w:pPr>
      <w:r>
        <w:rPr>
          <w:b/>
          <w:bCs/>
          <w:lang w:val="el" w:eastAsia="el"/>
        </w:rPr>
        <w:t xml:space="preserve">7. </w:t>
      </w:r>
      <w:r>
        <w:rPr>
          <w:b/>
          <w:bCs/>
          <w:lang w:val="el" w:eastAsia="el"/>
        </w:rPr>
        <w:t>Το π.δ. 142/2017 «Οργανισμός Υπουργείου Οικονομικών» (Α΄ 181).</w:t>
      </w:r>
    </w:p>
    <w:p>
      <w:pPr>
        <w:spacing w:before="240" w:after="240"/>
        <w:rPr>
          <w:lang w:val="el" w:eastAsia="el"/>
        </w:rPr>
      </w:pPr>
      <w:r>
        <w:rPr>
          <w:b/>
          <w:bCs/>
          <w:lang w:val="el" w:eastAsia="el"/>
        </w:rPr>
        <w:t xml:space="preserve">8. </w:t>
      </w:r>
      <w:r>
        <w:rPr>
          <w:b/>
          <w:bCs/>
          <w:lang w:val="el" w:eastAsia="el"/>
        </w:rPr>
        <w:t>Το π.δ. 83/2019 «Διορισμός Αντιπροέδρου της Κυβέρνησης, Υπουργών, Αναπληρωτών Υπουργών και Υφυπουργών» (Α΄ 121).</w:t>
      </w:r>
    </w:p>
    <w:p>
      <w:pPr>
        <w:spacing w:before="240" w:after="240"/>
        <w:rPr>
          <w:lang w:val="el" w:eastAsia="el"/>
        </w:rPr>
      </w:pPr>
      <w:r>
        <w:rPr>
          <w:b/>
          <w:bCs/>
          <w:lang w:val="el" w:eastAsia="el"/>
        </w:rPr>
        <w:t xml:space="preserve">9.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b/>
          <w:bCs/>
          <w:lang w:val="el" w:eastAsia="el"/>
        </w:rPr>
        <w:t xml:space="preserve">10. </w:t>
      </w:r>
      <w:r>
        <w:rPr>
          <w:b/>
          <w:bCs/>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b/>
          <w:bCs/>
          <w:lang w:val="el" w:eastAsia="el"/>
        </w:rPr>
        <w:t xml:space="preserve">11.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της</w:t>
      </w:r>
      <w:hyperlink r:id="rId5" w:history="1">
        <w:r>
          <w:rPr>
            <w:rStyle w:val="Hyperlink"/>
            <w:b/>
            <w:bCs/>
            <w:color w:val="0000EE"/>
            <w:u w:color="0000EE"/>
            <w:lang w:val="el" w:eastAsia="el"/>
          </w:rPr>
          <w:t xml:space="preserve">παρ. </w:t>
        </w:r>
        <w:r>
          <w:rPr>
            <w:rStyle w:val="Hyperlink"/>
            <w:b/>
            <w:bCs/>
            <w:color w:val="0000EE"/>
            <w:u w:color="0000EE"/>
            <w:lang w:val="el" w:eastAsia="el"/>
          </w:rPr>
          <w:t xml:space="preserve">10 </w:t>
        </w:r>
        <w:r>
          <w:rPr>
            <w:rStyle w:val="Hyperlink"/>
            <w:b/>
            <w:bCs/>
            <w:color w:val="0000EE"/>
            <w:u w:color="0000EE"/>
            <w:lang w:val="el" w:eastAsia="el"/>
          </w:rPr>
          <w:t xml:space="preserve">του άρθρου </w:t>
        </w:r>
        <w:r>
          <w:rPr>
            <w:rStyle w:val="Hyperlink"/>
            <w:b/>
            <w:bCs/>
            <w:color w:val="0000EE"/>
            <w:u w:color="0000EE"/>
            <w:lang w:val="el" w:eastAsia="el"/>
          </w:rPr>
          <w:t xml:space="preserve">41 </w:t>
        </w:r>
        <w:r>
          <w:rPr>
            <w:rStyle w:val="Hyperlink"/>
            <w:b/>
            <w:bCs/>
            <w:color w:val="0000EE"/>
            <w:u w:color="0000EE"/>
            <w:lang w:val="el" w:eastAsia="el"/>
          </w:rPr>
          <w:t xml:space="preserve">του ν. </w:t>
        </w:r>
        <w:r>
          <w:rPr>
            <w:rStyle w:val="Hyperlink"/>
            <w:b/>
            <w:bCs/>
            <w:color w:val="0000EE"/>
            <w:u w:color="0000EE"/>
            <w:lang w:val="el" w:eastAsia="el"/>
          </w:rPr>
          <w:t>4389/2016</w:t>
        </w:r>
      </w:hyperlink>
      <w:r>
        <w:rPr>
          <w:b/>
          <w:bCs/>
          <w:lang w:val="el" w:eastAsia="el"/>
        </w:rPr>
        <w:t>, την υπ' αρ. 39/3/30-11-2017 απόφαση του Συμβουλίου Διοίκησης της Ανεξάρτητης Αρχής Δημοσίων Εσόδων «Ανανέωσης θητείας του Διοικητή της Ανεξάρτητης Αρχής Δημοσίων Εσόδων» (Υ.Ο.Δ.Δ. 689), καθώς και την υπό στοιχεία 5294 ΕΞ 17.1.2020 (Υ.Ο.Δ.Δ.27) απόφαση του Υπουργού Οικονομικών περί ανανέωσης της θητείας του Διοικητή της Ανεξάρτητης Αρχής Δημοσίων Εσόδων.</w:t>
      </w:r>
    </w:p>
    <w:p>
      <w:pPr>
        <w:spacing w:before="240" w:after="240"/>
        <w:rPr>
          <w:lang w:val="el" w:eastAsia="el"/>
        </w:rPr>
      </w:pPr>
      <w:r>
        <w:rPr>
          <w:b/>
          <w:bCs/>
          <w:lang w:val="el" w:eastAsia="el"/>
        </w:rPr>
        <w:t xml:space="preserve">12. </w:t>
      </w:r>
      <w:r>
        <w:rPr>
          <w:b/>
          <w:bCs/>
          <w:lang w:val="el" w:eastAsia="el"/>
        </w:rPr>
        <w:t>Τις διατάξεις του Κεφ. Α΄ του ν. 4389/2016 «Σύσταση της Ανεξάρτητης Αρχής Δημοσίων Εσόδων» (Α΄ 94).</w:t>
      </w:r>
    </w:p>
    <w:p>
      <w:pPr>
        <w:spacing w:before="240" w:after="240"/>
        <w:rPr>
          <w:lang w:val="el" w:eastAsia="el"/>
        </w:rPr>
      </w:pPr>
      <w:r>
        <w:rPr>
          <w:b/>
          <w:bCs/>
          <w:lang w:val="el" w:eastAsia="el"/>
        </w:rPr>
        <w:t xml:space="preserve">13. </w:t>
      </w:r>
      <w:r>
        <w:rPr>
          <w:b/>
          <w:bCs/>
          <w:lang w:val="el" w:eastAsia="el"/>
        </w:rPr>
        <w:t>Την υπό στοιχεία Δ.ΟΡΓ. Α 1125859 ΕΞ2020 απόφαση του Διοικητή της Ανεξάρτητης Αρχής Δημοσίων Εσόδων «Οργανισμός της Ανεξάρτητης Αρχής Δημοσίων Εσόδων» (Β΄4738).</w:t>
      </w:r>
    </w:p>
    <w:p>
      <w:pPr>
        <w:spacing w:before="240" w:after="240"/>
        <w:rPr>
          <w:lang w:val="el" w:eastAsia="el"/>
        </w:rPr>
      </w:pPr>
      <w:r>
        <w:rPr>
          <w:b/>
          <w:bCs/>
          <w:lang w:val="el" w:eastAsia="el"/>
        </w:rPr>
        <w:t xml:space="preserve">14. </w:t>
      </w:r>
      <w:r>
        <w:rPr>
          <w:b/>
          <w:bCs/>
          <w:lang w:val="el" w:eastAsia="el"/>
        </w:rPr>
        <w:t>Την από 18/10/2021 εισήγηση του Διοικητή της Α.Α.Δ.Ε.</w:t>
      </w:r>
    </w:p>
    <w:p>
      <w:pPr>
        <w:spacing w:before="240" w:after="240"/>
        <w:rPr>
          <w:lang w:val="el" w:eastAsia="el"/>
        </w:rPr>
      </w:pPr>
      <w:r>
        <w:rPr>
          <w:b/>
          <w:bCs/>
          <w:lang w:val="el" w:eastAsia="el"/>
        </w:rPr>
        <w:t xml:space="preserve">15. </w:t>
      </w:r>
      <w:r>
        <w:rPr>
          <w:b/>
          <w:bCs/>
          <w:lang w:val="el" w:eastAsia="el"/>
        </w:rPr>
        <w:t>Την από 24/09/2021 γνώμη της Επιτροπής Κεφαλαιαγοράς.</w:t>
      </w:r>
    </w:p>
    <w:p>
      <w:pPr>
        <w:spacing w:before="240" w:after="240"/>
        <w:rPr>
          <w:lang w:val="el" w:eastAsia="el"/>
        </w:rPr>
      </w:pPr>
      <w:r>
        <w:rPr>
          <w:b/>
          <w:bCs/>
          <w:lang w:val="el" w:eastAsia="el"/>
        </w:rPr>
        <w:t xml:space="preserve">16. </w:t>
      </w:r>
      <w:r>
        <w:rPr>
          <w:b/>
          <w:bCs/>
          <w:lang w:val="el" w:eastAsia="el"/>
        </w:rPr>
        <w:t>Την ανάγκη καθορισμού των δικαιολογητικών ή άλλων στοιχείων που συνυποβάλλονται με τη δήλωση απόδοσης του φόρου από το κεντρικό αποθετήριο τίτλων στην αρμόδια για τη φορολογία του Δ.Ο.Υ., καθώς και κάθε άλλη αναγκαία λεπτομέρεια για την εφαρμογή των διατάξεων της περ. δ΄ της παρ. 2 του άρθρου 9 του ν. 2579/1998, αναφορικά με την απόδοση του φόρου που το Κ.Α.Τ. εισέπραξε από τον συμμετέχοντα.</w:t>
      </w:r>
    </w:p>
    <w:p>
      <w:pPr>
        <w:spacing w:before="240" w:after="240"/>
        <w:rPr>
          <w:lang w:val="el" w:eastAsia="el"/>
        </w:rPr>
      </w:pPr>
      <w:r>
        <w:rPr>
          <w:b/>
          <w:bCs/>
          <w:lang w:val="el" w:eastAsia="el"/>
        </w:rPr>
        <w:t xml:space="preserve">17. </w:t>
      </w:r>
      <w:r>
        <w:rPr>
          <w:b/>
          <w:bCs/>
          <w:lang w:val="el" w:eastAsia="el"/>
        </w:rPr>
        <w:t>Την ανάγκη προσαρμογής του Κ.Α.Τ., των συμμετέχοντων στο Κ.Α.Τ. , των διαμεσολαβητών της αλυσίδας διαμεσολαβητών και των εγγεγραμμένων διαμεσολαβητών στις απαιτήσεις που καθορίζονται με την απόφαση αυτή.</w:t>
      </w:r>
    </w:p>
    <w:p>
      <w:pPr>
        <w:spacing w:before="240" w:after="240"/>
        <w:rPr>
          <w:lang w:val="el" w:eastAsia="el"/>
        </w:rPr>
      </w:pPr>
      <w:r>
        <w:rPr>
          <w:b/>
          <w:bCs/>
          <w:lang w:val="el" w:eastAsia="el"/>
        </w:rPr>
        <w:t xml:space="preserve">18. </w:t>
      </w:r>
      <w:r>
        <w:rPr>
          <w:b/>
          <w:bCs/>
          <w:lang w:val="el" w:eastAsia="el"/>
        </w:rPr>
        <w:t>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 xml:space="preserve">Τύπος και περιεχόμενο της δήλωσης απόδοσης του φόρου από το ΚεντρικόΑποθετήριο Τίτλων προς την αρμόδια για τη φορολογία του Δ.Ο.Υ. με βάση τιςδιατάξεις της περ. δ΄ της παρ.2 του άρθρου 9 του ν.2579/1998 </w:t>
      </w:r>
    </w:p>
    <w:p>
      <w:pPr>
        <w:spacing w:before="240" w:after="240"/>
        <w:rPr>
          <w:lang w:val="el" w:eastAsia="el"/>
        </w:rPr>
      </w:pPr>
      <w:r>
        <w:rPr>
          <w:b/>
          <w:bCs/>
          <w:lang w:val="el" w:eastAsia="el"/>
        </w:rPr>
        <w:t>-Δικαιολογητικά που συνυποβάλλονται με τη δήλωση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Ορίζουμε ότι ο τύπος και το περιεχόμενο της δήλωσης απόδοσης του Φόρου Πώλησης της παρ. 2 του άρθρου 9 του ν. 2579/1998 που υποβάλλεται από το Κεντρικό Αποθετήριο Τίτλων προς την αρμόδια για τη φορολογία του Δ.Ο.Υ. επί των συναλλαγών μετοχών που τηρούνται από εγγεγραμμένο διαμεσολαβητή σε συλλογικό λογαριασμό αξιών και διακανονίζονται εκτός του κεντρικού αποθετηρίου τίτλων με βάση τις διατάξεις της περ. δ΄ της παρ. 2 του άρθρου 9 του ν. 2579/1998, έχει όπως το συνημμένο υπόδειγμα το οποίο επισυνάπτεται ως ΠΑΡΑΡΤΗΜΑ Α’ (‘Εντυπο: «ΔΗΛΩΣΗ ΑΠΟΔΟΣΗΣ ΦΟΡΟΥ ΠΩΛΗΣΗΣ ΤΟΥ ΚΕΝΤΡΙΚΟΥ ΑΠΟΘΕΤΗΡΙΟΥ ΤΙΤΛΩΝ ΠΡΟΣ ΤΗΝ ΑΡΜΟΔΙΑ ΓΙΑ ΤΗ ΦΟΡΟΛΟΓΙΑ ΤΟΥ Δ.Ο.Υ. της περ. δ΄ παρ. 2 άρθρου 9 ν.2579/1998») και συνιστά αναπόσπαστο μέρος της παρούσας.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δήλωση απόδοσης του φόρου υποβάλλεται από το Κ.Α.Τ. μέχρι το τέλος του επόμενου μήνα από το μήνα που διακανονίστηκαν οι συναλλαγές μετοχών που τηρούνται σε συλλογικό λογαριασμό αξιών από τον εγγεγραμμένο διαμεσολαβητή ή τον συμμετέχοντα, κατά περίπτωση, με βάση τη δήλωση καταβολής φόρου του συμμετέχοντα προς το Κ.Α.Τ.. Ως «συμμετέχων» νοείται ο οριζόμενος στο στοιχείο 19 της παρ. 1 του άρθρου 2 του Κανονισμού (ΕΕ) 909/2014.</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πιο πάνω δήλωση υποβάλλεται υποχρεωτικά σε έντυπη μορφή σε δύο (2) αντίτυπα ή αποστέλλεται με ψηφιακή απεικόνιση (scan) μέσω μηνύματος ηλεκτρονικού ταχυδρομείου στην αρμόδια για τη φορολογία του Δ.Ο.Υ. της Ανεξάρτητης Αρχής Δημοσίων Εσόδων (ΑΑΔΕ). Σε κάθε περίπτωση η δήλωση συνοδεύεται υποχρεωτικά από αναλυτική κατάσταση ως ΠΑΡΑΡΤΗΜΑ Β΄- ΑΝΑΛΥΤΙΚΗ ΚΑΤΑΣΤΑΣΗ σε ηλεκτρονική μορφή (ηλεκτρομαγνητικό μέσο αποθήκευσης ή ηλεκτρονικό επισυναπτόμενο αρχείο), κατά περίπτωση με τα πληροφοριακά στοιχεία που περιλαμβάνονται σε αυτή. Το αυτοματοποιημένο μήνυμα που αποστέλλεται ως απάντηση στο ηλεκτρονικό μήνυμα του φορολογουμένου, αποτελεί γι’ αυτόν αποδεικτικό υποβολής της δήλωσης και επέχει θέση απόδειξης παραλαβής εκ μέρους του αποδέκτη.</w:t>
      </w:r>
    </w:p>
    <w:p>
      <w:pPr>
        <w:spacing w:before="240" w:after="240"/>
        <w:rPr>
          <w:lang w:val="el" w:eastAsia="el"/>
        </w:rPr>
      </w:pPr>
      <w:r>
        <w:rPr>
          <w:b/>
          <w:bCs/>
          <w:lang w:val="el" w:eastAsia="el"/>
        </w:rPr>
        <w:t>Ο φόρος που κατέβαλε ο συμμετέχων αποδίδεται εφάπαξ από το Κ.Α.Τ. στην αρμόδια για τη φορολογία του Δ.Ο.Υ. μέχρι το τέλος του επόμενου μήνα από το μήνα που διακανονίστηκαν οι συναλλαγές μετοχών που τηρούνται σε συλλογικό λογαριασμό αξιών.</w:t>
      </w:r>
    </w:p>
    <w:p>
      <w:pPr>
        <w:spacing w:before="240" w:after="240"/>
        <w:rPr>
          <w:lang w:val="el" w:eastAsia="el"/>
        </w:rPr>
      </w:pPr>
      <w:r>
        <w:rPr>
          <w:b/>
          <w:bCs/>
          <w:lang w:val="el" w:eastAsia="el"/>
        </w:rPr>
        <w:t>Σε περίπτωση εκπρόθεσμης δήλωσης καταβολής του φόρου από τον συμμετέχοντα στο ΚΑΤ, το ΚΑΤ υποβάλλει τροποποιητική δήλωση απόδοσης του φόρου, συμπληρώνοντας τις αντίστοιχες στήλες (8) και (9) του συνημμένου υποδείγματος (ΠΑΡΑΡΤΗΜΑ Α΄). Στην περίπτωση αυτή, δεν επιβάλλεται πρόστιμο του άρθρου 54 και δεν υπολογίζεται τόκος του άρθρου 53 του ν. 4174/2013 σε βάρος του ΚΑΤ.</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Τύπος και περιεχόμενο της δήλωσης καταβολής φόρου προς το Κ.Α.Τ. και διαδικασία συλλογής φόρου από τον συμμετέχοντα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Ο φόρος πώλησης των διατάξεων της περ. δ΄ της παρ. 2 του άρθρου 9 του ν. 2579/1998 επί των συναλλαγών μετοχών που τηρούνται από εγγεγραμμένο διαμεσολαβητή σε συλλογικό λογαριασμό αξιών που διακανονίζονται εκτός του κεντρικού αποθετηρίου τίτλων υπολογίζεται σε ημερήσια βάση από τον εγγεγραμμένο διαμεσολαβητή, όπως αυτός ορίζεται στο άρθρο 2 του ν. 4569/2018, </w:t>
      </w:r>
    </w:p>
    <w:p>
      <w:pPr>
        <w:spacing w:before="240" w:after="240"/>
        <w:rPr>
          <w:lang w:val="el" w:eastAsia="el"/>
        </w:rPr>
      </w:pPr>
      <w:r>
        <w:rPr>
          <w:b/>
          <w:bCs/>
          <w:lang w:val="el" w:eastAsia="el"/>
        </w:rPr>
        <w:t>ή άλλο διαμεσολαβητή της αλυσίδας διαμεσολαβητών (υπόχρεο πρόσωπο για τον υπολογισμό του φόρου) για λογαριασμό των πωλητών. Ο Φόρος Πώλησης καταβάλλεται από έκαστο διαμεσολαβητή της αλυσίδας διαμεσολαβητών στον επόμενο διαμεσολαβητή ή στον εγγεγραμμένο διαμεσολαβητή ή τον συμμετέχοντα στο Κ.Α.Τ., κατά περίπτωση. Οσυμμετέχων συγκεντρώνει το φόρο πώλησης βάσει των επιμέρους δηλώσεων και καταβολών των διαμεσολαβητών και στη συνέχεια ο φόρος καταβάλλεται στο ΚΑΤ, σύμφωνα με τις διαδικασίες του με βάση τη δήλωση καταβολής φόρου από τον συμμετέχοντα στο ΚΑΤ, ως το συνημμένο υπόδειγμα το οποίο επισυνάπτεται ως ΠΑΡΑΡΤΗΜΑ Γ΄ της παρούσας και αποτελεί αναπόσπαστο μέρος αυτής. Ο φόρος που υπολογίζεται στην περίπτωση αυτή καταβάλλεται εμπρόθεσμα με δήλωση καταβολής του φόρου από τον συμμετέχοντα προς το Κ.Α.Τ. μέχρι τη δέκατη πέμπτη ημέρα κάθε μήνα και αφορά τις συναλλαγές που διακανονίστηκαν τον προηγούμενο μήνα.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 συμμετέχων στο Κ.Α.Τ. σε περίπτωση που δεν έχει υποβάλει δήλωση εγγραφής στο φορολογικό μητρώο, υποβάλει δήλωση εγγραφής σύμφωνα με τις διατάξεις του άρθρου 10 του Κ.Φ.Δ. και με βάση τα οριζόμενα στην υπό στοιχεία ΠΟΛ.1006/2013, (Β’ 19/2014) απόφαση του Γενικού Γραμματέα Δημοσίων Εσόδων προσκομίζοντας τα δικαιολογητικά που ορίζονται στην περ. ζ΄ της παρ.6 του άρθρου 6 αυτής. Η Φορολογική Διοίκηση δύναται και χωρίς την υποβολή δήλωσης εγγραφής στο μητρώο να αποδώσει Α.Φ.Μ. στον συμμετέχοντα σύμφωνα με τις διατάξεις του άρθρου 11 του ΚΦΔ.</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καταχώριση του φόρου γίνεται από το υποσύστημα των εσόδων του TAXIS στο είδος φόρου 2903 με αναλυτικό λογαριασμό εσόδου (Α.Λ.Ε.) 1110589001.</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παρούσα απόφαση ισχύει για συναλλαγές που διακανονίζονται από 01.11.2021 και μετά.</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3.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w:t>
      </w:r>
    </w:p>
    <w:p>
      <w:pPr>
        <w:spacing w:before="240" w:after="240"/>
        <w:rPr>
          <w:lang w:val="el" w:eastAsia="el"/>
        </w:rPr>
      </w:pPr>
      <w:r>
        <w:rPr>
          <w:b/>
          <w:bCs/>
          <w:lang w:val="el" w:eastAsia="el"/>
        </w:rPr>
        <w:t>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w:t>
      </w:r>
    </w:p>
    <w:p>
      <w:pPr>
        <w:spacing w:before="240" w:after="240"/>
        <w:rPr>
          <w:lang w:val="el" w:eastAsia="el"/>
        </w:rPr>
      </w:pPr>
      <w:r>
        <w:rPr>
          <w:b/>
          <w:bCs/>
          <w:lang w:val="el" w:eastAsia="el"/>
        </w:rPr>
        <w:t xml:space="preserve">2. </w:t>
      </w:r>
      <w:r>
        <w:rPr>
          <w:b/>
          <w:bCs/>
          <w:lang w:val="el" w:eastAsia="el"/>
        </w:rPr>
        <w:t>Γραφείο Υφυπουργού</w:t>
      </w:r>
    </w:p>
    <w:p>
      <w:pPr>
        <w:spacing w:before="240" w:after="240"/>
        <w:rPr>
          <w:lang w:val="el" w:eastAsia="el"/>
        </w:rPr>
      </w:pPr>
      <w:r>
        <w:rPr>
          <w:b/>
          <w:bCs/>
          <w:lang w:val="el" w:eastAsia="el"/>
        </w:rPr>
        <w:t xml:space="preserve">3.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 xml:space="preserve">5.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6. </w:t>
      </w:r>
      <w:r>
        <w:rPr>
          <w:b/>
          <w:bCs/>
          <w:lang w:val="el" w:eastAsia="el"/>
        </w:rPr>
        <w:t>ΔΤΔ - Εγκεκριμένοι Οικονομικοί Φορείς</w:t>
      </w:r>
    </w:p>
    <w:p>
      <w:pPr>
        <w:spacing w:before="240" w:after="240"/>
        <w:rPr>
          <w:lang w:val="el" w:eastAsia="el"/>
        </w:rPr>
      </w:pPr>
      <w:r>
        <w:rPr>
          <w:b/>
          <w:bCs/>
          <w:lang w:val="el" w:eastAsia="el"/>
        </w:rPr>
        <w:t xml:space="preserve">7. </w:t>
      </w:r>
      <w:r>
        <w:rPr>
          <w:b/>
          <w:bCs/>
          <w:lang w:val="el" w:eastAsia="el"/>
        </w:rPr>
        <w:t>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Γενικού Δ/ντή Φορολογικής Διοίκησης</w:t>
      </w:r>
    </w:p>
    <w:p>
      <w:pPr>
        <w:spacing w:before="240" w:after="240"/>
        <w:rPr>
          <w:lang w:val="el" w:eastAsia="el"/>
        </w:rPr>
      </w:pPr>
      <w:r>
        <w:rPr>
          <w:b/>
          <w:bCs/>
          <w:lang w:val="el" w:eastAsia="el"/>
        </w:rPr>
        <w:t xml:space="preserve">3. </w:t>
      </w:r>
      <w:r>
        <w:rPr>
          <w:b/>
          <w:bCs/>
          <w:lang w:val="el" w:eastAsia="el"/>
        </w:rPr>
        <w:t>Γραφεία Γενικών Δ/ντών</w:t>
      </w:r>
    </w:p>
    <w:p>
      <w:pPr>
        <w:spacing w:before="240" w:after="240"/>
        <w:rPr>
          <w:lang w:val="el" w:eastAsia="el"/>
        </w:rPr>
      </w:pPr>
      <w:r>
        <w:rPr>
          <w:b/>
          <w:bCs/>
          <w:lang w:val="el" w:eastAsia="el"/>
        </w:rPr>
        <w:t xml:space="preserve">4. </w:t>
      </w:r>
      <w:r>
        <w:rPr>
          <w:b/>
          <w:bCs/>
          <w:lang w:val="el" w:eastAsia="el"/>
        </w:rPr>
        <w:t>Δ/νση Εφαρμογής Άμεσης Φορολογίας - Τμήμα Β΄</w:t>
      </w:r>
    </w:p>
    <w:p>
      <w:pPr>
        <w:spacing w:before="240" w:after="240"/>
        <w:rPr>
          <w:lang w:val="el" w:eastAsia="el"/>
        </w:rPr>
      </w:pPr>
      <w:r>
        <w:rPr>
          <w:b/>
          <w:bCs/>
          <w:lang w:val="el" w:eastAsia="el"/>
        </w:rPr>
        <w:t xml:space="preserve">5. </w:t>
      </w:r>
      <w:r>
        <w:rPr>
          <w:b/>
          <w:bCs/>
          <w:lang w:val="el" w:eastAsia="el"/>
        </w:rPr>
        <w:t>Δ/νση Νομικής Υποστήριξης της Α.Α.Δ.Ε.</w:t>
      </w:r>
    </w:p>
    <w:p>
      <w:pPr>
        <w:spacing w:before="240" w:after="240"/>
        <w:rPr>
          <w:lang w:val="el" w:eastAsia="el"/>
        </w:rPr>
      </w:pPr>
      <w:r>
        <w:rPr>
          <w:b/>
          <w:bCs/>
          <w:lang w:val="el" w:eastAsia="el"/>
        </w:rPr>
        <w:t xml:space="preserve">6.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b@aade.gr" TargetMode="External" /><Relationship Id="rId5" Type="http://schemas.openxmlformats.org/officeDocument/2006/relationships/hyperlink" Target="https://www.forin.gr/laws/law/3474/nomos-4389-2016%23!/?article=41&amp;paragraph=10&amp;bn=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